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50" w:rsidRPr="007B5B50" w:rsidRDefault="007B5B50" w:rsidP="007B5B5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uppressAutoHyphens/>
        <w:spacing w:line="360" w:lineRule="auto"/>
        <w:jc w:val="center"/>
        <w:rPr>
          <w:rFonts w:ascii="Arial" w:eastAsia="Times New Roman" w:hAnsi="Arial" w:cs="Arial"/>
          <w:b/>
          <w:bCs/>
          <w:color w:val="auto"/>
          <w:sz w:val="22"/>
          <w:szCs w:val="22"/>
          <w:u w:val="single"/>
        </w:rPr>
      </w:pPr>
      <w:r w:rsidRPr="007B5B50">
        <w:rPr>
          <w:rFonts w:ascii="Arial" w:eastAsia="Times New Roman" w:hAnsi="Arial" w:cs="Arial"/>
          <w:b/>
          <w:bCs/>
          <w:color w:val="auto"/>
          <w:sz w:val="22"/>
          <w:szCs w:val="22"/>
          <w:u w:val="single"/>
        </w:rPr>
        <w:t xml:space="preserve">RELAZIONE DEL TESORIERE AL BILANCIO CONSUNTIVO ANNO </w:t>
      </w:r>
      <w:r w:rsidR="007A5C99">
        <w:rPr>
          <w:rFonts w:ascii="Arial" w:eastAsia="Times New Roman" w:hAnsi="Arial" w:cs="Arial"/>
          <w:b/>
          <w:bCs/>
          <w:color w:val="auto"/>
          <w:sz w:val="22"/>
          <w:szCs w:val="22"/>
          <w:u w:val="single"/>
        </w:rPr>
        <w:t>2013</w:t>
      </w:r>
    </w:p>
    <w:p w:rsidR="007B5B50" w:rsidRPr="007B5B50" w:rsidRDefault="007B5B50" w:rsidP="007B5B5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uppressAutoHyphens/>
        <w:spacing w:line="360" w:lineRule="auto"/>
        <w:rPr>
          <w:rStyle w:val="CharacterStyle1"/>
          <w:rFonts w:ascii="Arial" w:eastAsia="Times New Roman" w:hAnsi="Arial" w:cs="Arial"/>
          <w:color w:val="auto"/>
          <w:sz w:val="22"/>
          <w:szCs w:val="22"/>
        </w:rPr>
      </w:pPr>
    </w:p>
    <w:p w:rsidR="007B5B50" w:rsidRPr="007B5B50" w:rsidRDefault="007B5B50" w:rsidP="007B5B50">
      <w:pPr>
        <w:pStyle w:val="Style1"/>
        <w:tabs>
          <w:tab w:val="left" w:pos="9638"/>
        </w:tabs>
        <w:spacing w:line="360" w:lineRule="auto"/>
        <w:rPr>
          <w:rStyle w:val="CharacterStyle1"/>
          <w:rFonts w:ascii="Arial" w:hAnsi="Arial" w:cs="Arial"/>
          <w:sz w:val="22"/>
          <w:szCs w:val="22"/>
        </w:rPr>
      </w:pPr>
      <w:r w:rsidRPr="007B5B50">
        <w:rPr>
          <w:rStyle w:val="CharacterStyle1"/>
          <w:rFonts w:ascii="Arial" w:hAnsi="Arial" w:cs="Arial"/>
          <w:sz w:val="22"/>
          <w:szCs w:val="22"/>
        </w:rPr>
        <w:t>I dati del Bilancio Consuntivo 20</w:t>
      </w:r>
      <w:r>
        <w:rPr>
          <w:rStyle w:val="CharacterStyle1"/>
          <w:rFonts w:ascii="Arial" w:hAnsi="Arial" w:cs="Arial"/>
          <w:sz w:val="22"/>
          <w:szCs w:val="22"/>
        </w:rPr>
        <w:t>1</w:t>
      </w:r>
      <w:r w:rsidR="007A5C99">
        <w:rPr>
          <w:rStyle w:val="CharacterStyle1"/>
          <w:rFonts w:ascii="Arial" w:hAnsi="Arial" w:cs="Arial"/>
          <w:sz w:val="22"/>
          <w:szCs w:val="22"/>
        </w:rPr>
        <w:t>3</w:t>
      </w:r>
      <w:r w:rsidRPr="007B5B50">
        <w:rPr>
          <w:rStyle w:val="CharacterStyle1"/>
          <w:rFonts w:ascii="Arial" w:hAnsi="Arial" w:cs="Arial"/>
          <w:sz w:val="22"/>
          <w:szCs w:val="22"/>
        </w:rPr>
        <w:t xml:space="preserve">, così come elaborati dal Dott. Ori e dalla Dott.ssa </w:t>
      </w:r>
      <w:proofErr w:type="spellStart"/>
      <w:r w:rsidRPr="007B5B50">
        <w:rPr>
          <w:rStyle w:val="CharacterStyle1"/>
          <w:rFonts w:ascii="Arial" w:hAnsi="Arial" w:cs="Arial"/>
          <w:sz w:val="22"/>
          <w:szCs w:val="22"/>
        </w:rPr>
        <w:t>Mastropaolo</w:t>
      </w:r>
      <w:proofErr w:type="spellEnd"/>
      <w:r w:rsidRPr="007B5B50">
        <w:rPr>
          <w:rStyle w:val="CharacterStyle1"/>
          <w:rFonts w:ascii="Arial" w:hAnsi="Arial" w:cs="Arial"/>
          <w:sz w:val="22"/>
          <w:szCs w:val="22"/>
        </w:rPr>
        <w:t xml:space="preserve"> dello Studio </w:t>
      </w:r>
      <w:proofErr w:type="spellStart"/>
      <w:r w:rsidRPr="007B5B50">
        <w:rPr>
          <w:rStyle w:val="CharacterStyle1"/>
          <w:rFonts w:ascii="Arial" w:hAnsi="Arial" w:cs="Arial"/>
          <w:sz w:val="22"/>
          <w:szCs w:val="22"/>
        </w:rPr>
        <w:t>Mancaruso</w:t>
      </w:r>
      <w:proofErr w:type="spellEnd"/>
      <w:r w:rsidRPr="007B5B50">
        <w:rPr>
          <w:rStyle w:val="CharacterStyle1"/>
          <w:rFonts w:ascii="Arial" w:hAnsi="Arial" w:cs="Arial"/>
          <w:sz w:val="22"/>
          <w:szCs w:val="22"/>
        </w:rPr>
        <w:t xml:space="preserve">, consulenti dell’Ordine, evidenziano il buono stato di salute finanziario-gestionale e patrimoniale degli Architetti di Bologna, come </w:t>
      </w:r>
      <w:r>
        <w:rPr>
          <w:rStyle w:val="CharacterStyle1"/>
          <w:rFonts w:ascii="Arial" w:hAnsi="Arial" w:cs="Arial"/>
          <w:sz w:val="22"/>
          <w:szCs w:val="22"/>
        </w:rPr>
        <w:t>già</w:t>
      </w:r>
      <w:r w:rsidRPr="007B5B50">
        <w:rPr>
          <w:rStyle w:val="CharacterStyle1"/>
          <w:rFonts w:ascii="Arial" w:hAnsi="Arial" w:cs="Arial"/>
          <w:sz w:val="22"/>
          <w:szCs w:val="22"/>
        </w:rPr>
        <w:t xml:space="preserve"> era avvenuto negli anni precedenti.</w:t>
      </w:r>
    </w:p>
    <w:p w:rsidR="007B5B50" w:rsidRDefault="007B5B50" w:rsidP="007B5B50">
      <w:pPr>
        <w:pStyle w:val="Style1"/>
        <w:tabs>
          <w:tab w:val="left" w:pos="9638"/>
        </w:tabs>
        <w:spacing w:line="360" w:lineRule="auto"/>
        <w:rPr>
          <w:rStyle w:val="CharacterStyle1"/>
          <w:rFonts w:ascii="Arial" w:hAnsi="Arial" w:cs="Arial"/>
          <w:sz w:val="22"/>
          <w:szCs w:val="22"/>
        </w:rPr>
      </w:pPr>
    </w:p>
    <w:p w:rsidR="002947C4" w:rsidRPr="00DC0AEB" w:rsidRDefault="004234C5" w:rsidP="007B5B50">
      <w:pPr>
        <w:pStyle w:val="Style1"/>
        <w:tabs>
          <w:tab w:val="left" w:pos="9638"/>
        </w:tabs>
        <w:spacing w:line="360" w:lineRule="auto"/>
        <w:rPr>
          <w:rStyle w:val="CharacterStyle1"/>
          <w:rFonts w:ascii="Arial" w:hAnsi="Arial" w:cs="Arial"/>
          <w:sz w:val="22"/>
          <w:szCs w:val="22"/>
        </w:rPr>
      </w:pPr>
      <w:r w:rsidRPr="00DC0AEB">
        <w:rPr>
          <w:rStyle w:val="CharacterStyle1"/>
          <w:rFonts w:ascii="Arial" w:hAnsi="Arial" w:cs="Arial"/>
          <w:sz w:val="22"/>
          <w:szCs w:val="22"/>
        </w:rPr>
        <w:t>Desid</w:t>
      </w:r>
      <w:r w:rsidR="00DC0AEB" w:rsidRPr="00DC0AEB">
        <w:rPr>
          <w:rStyle w:val="CharacterStyle1"/>
          <w:rFonts w:ascii="Arial" w:hAnsi="Arial" w:cs="Arial"/>
          <w:sz w:val="22"/>
          <w:szCs w:val="22"/>
        </w:rPr>
        <w:t xml:space="preserve">ero evidenziare che quest’anno </w:t>
      </w:r>
      <w:r w:rsidRPr="00DC0AEB">
        <w:rPr>
          <w:rStyle w:val="CharacterStyle1"/>
          <w:rFonts w:ascii="Arial" w:hAnsi="Arial" w:cs="Arial"/>
          <w:sz w:val="22"/>
          <w:szCs w:val="22"/>
        </w:rPr>
        <w:t xml:space="preserve">sia il risultato economico che quello finanziario </w:t>
      </w:r>
      <w:r w:rsidR="002947C4" w:rsidRPr="00DC0AEB">
        <w:rPr>
          <w:rStyle w:val="CharacterStyle1"/>
          <w:rFonts w:ascii="Arial" w:hAnsi="Arial" w:cs="Arial"/>
          <w:sz w:val="22"/>
          <w:szCs w:val="22"/>
        </w:rPr>
        <w:t>mostrano</w:t>
      </w:r>
      <w:r w:rsidRPr="00DC0AEB">
        <w:rPr>
          <w:rStyle w:val="CharacterStyle1"/>
          <w:rFonts w:ascii="Arial" w:hAnsi="Arial" w:cs="Arial"/>
          <w:sz w:val="22"/>
          <w:szCs w:val="22"/>
        </w:rPr>
        <w:t xml:space="preserve"> un risultato positivo, e precisamente: </w:t>
      </w:r>
    </w:p>
    <w:p w:rsidR="002947C4" w:rsidRPr="00DC0AEB" w:rsidRDefault="004234C5" w:rsidP="002947C4">
      <w:pPr>
        <w:pStyle w:val="Style1"/>
        <w:numPr>
          <w:ilvl w:val="0"/>
          <w:numId w:val="10"/>
        </w:numPr>
        <w:tabs>
          <w:tab w:val="left" w:pos="9638"/>
        </w:tabs>
        <w:spacing w:line="360" w:lineRule="auto"/>
        <w:rPr>
          <w:rStyle w:val="CharacterStyle1"/>
          <w:rFonts w:ascii="Arial" w:hAnsi="Arial" w:cs="Arial"/>
          <w:sz w:val="22"/>
          <w:szCs w:val="22"/>
        </w:rPr>
      </w:pPr>
      <w:r w:rsidRPr="00DC0AEB">
        <w:rPr>
          <w:rStyle w:val="CharacterStyle1"/>
          <w:rFonts w:ascii="Arial" w:hAnsi="Arial" w:cs="Arial"/>
          <w:sz w:val="22"/>
          <w:szCs w:val="22"/>
        </w:rPr>
        <w:t xml:space="preserve">€ 34.151,77 è l’avanzo finanziario (che emerge dal rendiconto finanziario), </w:t>
      </w:r>
    </w:p>
    <w:p w:rsidR="002947C4" w:rsidRPr="00DC0AEB" w:rsidRDefault="004234C5" w:rsidP="002947C4">
      <w:pPr>
        <w:pStyle w:val="Style1"/>
        <w:numPr>
          <w:ilvl w:val="0"/>
          <w:numId w:val="10"/>
        </w:numPr>
        <w:tabs>
          <w:tab w:val="left" w:pos="9638"/>
        </w:tabs>
        <w:spacing w:line="360" w:lineRule="auto"/>
        <w:rPr>
          <w:rStyle w:val="CharacterStyle1"/>
          <w:rFonts w:ascii="Arial" w:hAnsi="Arial" w:cs="Arial"/>
          <w:sz w:val="22"/>
          <w:szCs w:val="22"/>
        </w:rPr>
      </w:pPr>
      <w:r w:rsidRPr="00DC0AEB">
        <w:rPr>
          <w:rStyle w:val="CharacterStyle1"/>
          <w:rFonts w:ascii="Arial" w:hAnsi="Arial" w:cs="Arial"/>
          <w:sz w:val="22"/>
          <w:szCs w:val="22"/>
        </w:rPr>
        <w:t xml:space="preserve">€ 22.480,43 è l’avanzo economico (che emerge dal rendiconto economico); </w:t>
      </w:r>
    </w:p>
    <w:p w:rsidR="004234C5" w:rsidRDefault="004234C5" w:rsidP="002947C4">
      <w:pPr>
        <w:pStyle w:val="Style1"/>
        <w:tabs>
          <w:tab w:val="left" w:pos="9638"/>
        </w:tabs>
        <w:spacing w:line="360" w:lineRule="auto"/>
        <w:rPr>
          <w:rStyle w:val="CharacterStyle1"/>
          <w:rFonts w:ascii="Arial" w:hAnsi="Arial" w:cs="Arial"/>
          <w:sz w:val="22"/>
          <w:szCs w:val="22"/>
        </w:rPr>
      </w:pPr>
      <w:r w:rsidRPr="00DC0AEB">
        <w:rPr>
          <w:rStyle w:val="CharacterStyle1"/>
          <w:rFonts w:ascii="Arial" w:hAnsi="Arial" w:cs="Arial"/>
          <w:sz w:val="22"/>
          <w:szCs w:val="22"/>
        </w:rPr>
        <w:t xml:space="preserve">l’avanzo finanziario si riflette </w:t>
      </w:r>
      <w:r w:rsidR="002947C4" w:rsidRPr="00DC0AEB">
        <w:rPr>
          <w:rStyle w:val="CharacterStyle1"/>
          <w:rFonts w:ascii="Arial" w:hAnsi="Arial" w:cs="Arial"/>
          <w:sz w:val="22"/>
          <w:szCs w:val="22"/>
        </w:rPr>
        <w:t xml:space="preserve">naturalmente </w:t>
      </w:r>
      <w:r w:rsidRPr="00DC0AEB">
        <w:rPr>
          <w:rStyle w:val="CharacterStyle1"/>
          <w:rFonts w:ascii="Arial" w:hAnsi="Arial" w:cs="Arial"/>
          <w:sz w:val="22"/>
          <w:szCs w:val="22"/>
        </w:rPr>
        <w:t>nell’incremento della liquidità, che passa da € 412.930,78  ad €. 443.276,02</w:t>
      </w:r>
      <w:r w:rsidR="002947C4" w:rsidRPr="00DC0AEB">
        <w:rPr>
          <w:rStyle w:val="CharacterStyle1"/>
          <w:rFonts w:ascii="Arial" w:hAnsi="Arial" w:cs="Arial"/>
          <w:sz w:val="22"/>
          <w:szCs w:val="22"/>
        </w:rPr>
        <w:t xml:space="preserve">; pur tenendo conto </w:t>
      </w:r>
      <w:r w:rsidRPr="00DC0AEB">
        <w:rPr>
          <w:rStyle w:val="CharacterStyle1"/>
          <w:rFonts w:ascii="Arial" w:hAnsi="Arial" w:cs="Arial"/>
          <w:sz w:val="22"/>
          <w:szCs w:val="22"/>
        </w:rPr>
        <w:t>dell</w:t>
      </w:r>
      <w:r w:rsidR="002947C4" w:rsidRPr="00DC0AEB">
        <w:rPr>
          <w:rStyle w:val="CharacterStyle1"/>
          <w:rFonts w:ascii="Arial" w:hAnsi="Arial" w:cs="Arial"/>
          <w:sz w:val="22"/>
          <w:szCs w:val="22"/>
        </w:rPr>
        <w:t xml:space="preserve">’importo del </w:t>
      </w:r>
      <w:r w:rsidRPr="00DC0AEB">
        <w:rPr>
          <w:rStyle w:val="CharacterStyle1"/>
          <w:rFonts w:ascii="Arial" w:hAnsi="Arial" w:cs="Arial"/>
          <w:sz w:val="22"/>
          <w:szCs w:val="22"/>
        </w:rPr>
        <w:t>TFR</w:t>
      </w:r>
      <w:r w:rsidR="002947C4" w:rsidRPr="00DC0AEB">
        <w:rPr>
          <w:rStyle w:val="CharacterStyle1"/>
          <w:rFonts w:ascii="Arial" w:hAnsi="Arial" w:cs="Arial"/>
          <w:sz w:val="22"/>
          <w:szCs w:val="22"/>
        </w:rPr>
        <w:t xml:space="preserve"> accantonato contabilmente, e che assomma al 31/12/2013 a € 74.335,79, possiamo senz’altro affermare che l’Ordine presenta una situazione positiva sotto il profilo sia economico che finanziario.</w:t>
      </w:r>
      <w:r w:rsidR="002947C4">
        <w:rPr>
          <w:rStyle w:val="CharacterStyle1"/>
          <w:rFonts w:ascii="Arial" w:hAnsi="Arial" w:cs="Arial"/>
          <w:sz w:val="22"/>
          <w:szCs w:val="22"/>
        </w:rPr>
        <w:t xml:space="preserve"> </w:t>
      </w:r>
    </w:p>
    <w:p w:rsidR="004234C5" w:rsidRDefault="004234C5" w:rsidP="007B5B50">
      <w:pPr>
        <w:pStyle w:val="Style1"/>
        <w:tabs>
          <w:tab w:val="left" w:pos="9638"/>
        </w:tabs>
        <w:spacing w:line="360" w:lineRule="auto"/>
        <w:rPr>
          <w:rStyle w:val="CharacterStyle1"/>
          <w:rFonts w:ascii="Arial" w:hAnsi="Arial" w:cs="Arial"/>
          <w:sz w:val="22"/>
          <w:szCs w:val="22"/>
        </w:rPr>
      </w:pPr>
    </w:p>
    <w:p w:rsidR="00312219" w:rsidRDefault="00312219" w:rsidP="00312219">
      <w:pPr>
        <w:pStyle w:val="Style1"/>
        <w:tabs>
          <w:tab w:val="left" w:pos="9638"/>
        </w:tabs>
        <w:spacing w:line="360" w:lineRule="auto"/>
        <w:rPr>
          <w:rStyle w:val="CharacterStyle1"/>
          <w:rFonts w:ascii="Arial" w:hAnsi="Arial" w:cs="Arial"/>
          <w:sz w:val="22"/>
          <w:szCs w:val="22"/>
        </w:rPr>
      </w:pPr>
      <w:r w:rsidRPr="00DC0AEB">
        <w:rPr>
          <w:rStyle w:val="CharacterStyle1"/>
          <w:rFonts w:ascii="Arial" w:hAnsi="Arial" w:cs="Arial"/>
          <w:sz w:val="22"/>
          <w:szCs w:val="22"/>
        </w:rPr>
        <w:t xml:space="preserve">Vi sono </w:t>
      </w:r>
      <w:r w:rsidR="00C64ABE" w:rsidRPr="00DC0AEB">
        <w:rPr>
          <w:rStyle w:val="CharacterStyle1"/>
          <w:rFonts w:ascii="Arial" w:hAnsi="Arial" w:cs="Arial"/>
          <w:sz w:val="22"/>
          <w:szCs w:val="22"/>
        </w:rPr>
        <w:t xml:space="preserve">comunque </w:t>
      </w:r>
      <w:r w:rsidRPr="00DC0AEB">
        <w:rPr>
          <w:rStyle w:val="CharacterStyle1"/>
          <w:rFonts w:ascii="Arial" w:hAnsi="Arial" w:cs="Arial"/>
          <w:sz w:val="22"/>
          <w:szCs w:val="22"/>
        </w:rPr>
        <w:t>due precisazioni che occorre fare: la prima riguarda la differenza tra il risultato finanziario positivo ed il risultato economico</w:t>
      </w:r>
      <w:r w:rsidR="00C64ABE" w:rsidRPr="00DC0AEB">
        <w:rPr>
          <w:rStyle w:val="CharacterStyle1"/>
          <w:rFonts w:ascii="Arial" w:hAnsi="Arial" w:cs="Arial"/>
          <w:sz w:val="22"/>
          <w:szCs w:val="22"/>
        </w:rPr>
        <w:t>,</w:t>
      </w:r>
      <w:r w:rsidRPr="00DC0AEB">
        <w:rPr>
          <w:rStyle w:val="CharacterStyle1"/>
          <w:rFonts w:ascii="Arial" w:hAnsi="Arial" w:cs="Arial"/>
          <w:sz w:val="22"/>
          <w:szCs w:val="22"/>
        </w:rPr>
        <w:t xml:space="preserve"> anch’esso </w:t>
      </w:r>
      <w:r w:rsidR="00C64ABE" w:rsidRPr="00DC0AEB">
        <w:rPr>
          <w:rStyle w:val="CharacterStyle1"/>
          <w:rFonts w:ascii="Arial" w:hAnsi="Arial" w:cs="Arial"/>
          <w:sz w:val="22"/>
          <w:szCs w:val="22"/>
        </w:rPr>
        <w:t xml:space="preserve">positivo ma in misura inferiore: tale differenza, come negli anni passati, </w:t>
      </w:r>
      <w:r w:rsidRPr="00DC0AEB">
        <w:rPr>
          <w:rStyle w:val="CharacterStyle1"/>
          <w:rFonts w:ascii="Arial" w:hAnsi="Arial" w:cs="Arial"/>
          <w:sz w:val="22"/>
          <w:szCs w:val="22"/>
        </w:rPr>
        <w:t>è da addebitarsi unicamente ai diversi principi contabili cui i relativi documenti devono far riferimento: infatti nel Conto Economico - Stato Patrimoniale, stilato secondo il Principio della Competenza Economica, devono essere inseriti anche valori relativi agli ammortamenti di beni strumentali e lavori saldati ed eseguiti dall’Ordine negli anni scorsi e per i quali nell’esercizio corrente, di fatto, non vi è stata alcuna fonte di uscita.</w:t>
      </w:r>
      <w:r w:rsidR="00C64ABE" w:rsidRPr="00DC0AEB">
        <w:rPr>
          <w:rStyle w:val="CharacterStyle1"/>
          <w:rFonts w:ascii="Arial" w:hAnsi="Arial" w:cs="Arial"/>
          <w:sz w:val="22"/>
          <w:szCs w:val="22"/>
        </w:rPr>
        <w:t xml:space="preserve"> Tali componenti risultano invece assenti, in ragione dei diversi principi di redazione, nel rendiconto finanziario. Va però notato che l’ammontare degli ammortamenti si è notevolmente ridotto rispetto al precedente anno</w:t>
      </w:r>
      <w:r w:rsidR="00952A70" w:rsidRPr="00DC0AEB">
        <w:rPr>
          <w:rStyle w:val="CharacterStyle1"/>
          <w:rFonts w:ascii="Arial" w:hAnsi="Arial" w:cs="Arial"/>
          <w:sz w:val="22"/>
          <w:szCs w:val="22"/>
        </w:rPr>
        <w:t xml:space="preserve"> (da € 30.587,01 a € 6.029,41), in virtù del fatto che gli ammortamenti di beni meno recenti si sono </w:t>
      </w:r>
      <w:r w:rsidR="00C64ABE" w:rsidRPr="00DC0AEB">
        <w:rPr>
          <w:rStyle w:val="CharacterStyle1"/>
          <w:rFonts w:ascii="Arial" w:hAnsi="Arial" w:cs="Arial"/>
          <w:sz w:val="22"/>
          <w:szCs w:val="22"/>
        </w:rPr>
        <w:t xml:space="preserve"> </w:t>
      </w:r>
      <w:r w:rsidR="00952A70" w:rsidRPr="00DC0AEB">
        <w:rPr>
          <w:rStyle w:val="CharacterStyle1"/>
          <w:rFonts w:ascii="Arial" w:hAnsi="Arial" w:cs="Arial"/>
          <w:sz w:val="22"/>
          <w:szCs w:val="22"/>
        </w:rPr>
        <w:t>ormai conclusi; e il decremento della voce “ammortamenti” produce, come naturale conseguenze, una minor differenza tra risultato economico e risultato finanziario</w:t>
      </w:r>
      <w:r w:rsidR="00C64ABE" w:rsidRPr="00DC0AEB">
        <w:rPr>
          <w:rStyle w:val="CharacterStyle1"/>
          <w:rFonts w:ascii="Arial" w:hAnsi="Arial" w:cs="Arial"/>
          <w:sz w:val="22"/>
          <w:szCs w:val="22"/>
        </w:rPr>
        <w:t>.</w:t>
      </w:r>
      <w:r w:rsidR="00C64ABE">
        <w:rPr>
          <w:rStyle w:val="CharacterStyle1"/>
          <w:rFonts w:ascii="Arial" w:hAnsi="Arial" w:cs="Arial"/>
          <w:sz w:val="22"/>
          <w:szCs w:val="22"/>
        </w:rPr>
        <w:t xml:space="preserve"> </w:t>
      </w:r>
    </w:p>
    <w:p w:rsidR="00952A70" w:rsidRPr="007B5B50" w:rsidRDefault="00952A70" w:rsidP="00312219">
      <w:pPr>
        <w:pStyle w:val="Style1"/>
        <w:tabs>
          <w:tab w:val="left" w:pos="9638"/>
        </w:tabs>
        <w:spacing w:line="360" w:lineRule="auto"/>
        <w:rPr>
          <w:rStyle w:val="CharacterStyle1"/>
          <w:rFonts w:ascii="Arial" w:hAnsi="Arial" w:cs="Arial"/>
          <w:sz w:val="22"/>
          <w:szCs w:val="22"/>
        </w:rPr>
      </w:pPr>
    </w:p>
    <w:p w:rsidR="00312219" w:rsidRPr="007B5B50" w:rsidRDefault="00312219" w:rsidP="00312219">
      <w:pPr>
        <w:pStyle w:val="Style1"/>
        <w:tabs>
          <w:tab w:val="left" w:pos="9638"/>
        </w:tabs>
        <w:spacing w:line="360" w:lineRule="auto"/>
        <w:rPr>
          <w:rStyle w:val="CharacterStyle1"/>
          <w:rFonts w:ascii="Arial" w:hAnsi="Arial" w:cs="Arial"/>
          <w:sz w:val="22"/>
          <w:szCs w:val="22"/>
        </w:rPr>
      </w:pPr>
      <w:r w:rsidRPr="007B5B50">
        <w:rPr>
          <w:rStyle w:val="CharacterStyle1"/>
          <w:rFonts w:ascii="Arial" w:hAnsi="Arial" w:cs="Arial"/>
          <w:sz w:val="22"/>
          <w:szCs w:val="22"/>
        </w:rPr>
        <w:t xml:space="preserve">La seconda precisazione riguarda </w:t>
      </w:r>
      <w:r w:rsidRPr="007A3474">
        <w:rPr>
          <w:rStyle w:val="CharacterStyle1"/>
          <w:rFonts w:ascii="Arial" w:hAnsi="Arial" w:cs="Arial"/>
          <w:sz w:val="22"/>
          <w:szCs w:val="22"/>
        </w:rPr>
        <w:t>l’aumento della liquidità</w:t>
      </w:r>
      <w:r>
        <w:rPr>
          <w:rStyle w:val="CharacterStyle1"/>
          <w:rFonts w:ascii="Arial" w:hAnsi="Arial" w:cs="Arial"/>
          <w:sz w:val="22"/>
          <w:szCs w:val="22"/>
        </w:rPr>
        <w:t xml:space="preserve"> (da un totale di Liquidità pari a </w:t>
      </w:r>
      <w:r w:rsidR="00171BC5">
        <w:rPr>
          <w:rStyle w:val="CharacterStyle1"/>
          <w:rFonts w:ascii="Arial" w:hAnsi="Arial" w:cs="Arial"/>
          <w:sz w:val="22"/>
          <w:szCs w:val="22"/>
        </w:rPr>
        <w:t>€</w:t>
      </w:r>
      <w:r>
        <w:rPr>
          <w:rStyle w:val="CharacterStyle1"/>
          <w:rFonts w:ascii="Arial" w:hAnsi="Arial" w:cs="Arial"/>
          <w:sz w:val="22"/>
          <w:szCs w:val="22"/>
        </w:rPr>
        <w:t xml:space="preserve"> 412.931 circa al 31/12/2012 a </w:t>
      </w:r>
      <w:r w:rsidR="00171BC5">
        <w:rPr>
          <w:rStyle w:val="CharacterStyle1"/>
          <w:rFonts w:ascii="Arial" w:hAnsi="Arial" w:cs="Arial"/>
          <w:sz w:val="22"/>
          <w:szCs w:val="22"/>
        </w:rPr>
        <w:t>€</w:t>
      </w:r>
      <w:r>
        <w:rPr>
          <w:rStyle w:val="CharacterStyle1"/>
          <w:rFonts w:ascii="Arial" w:hAnsi="Arial" w:cs="Arial"/>
          <w:sz w:val="22"/>
          <w:szCs w:val="22"/>
        </w:rPr>
        <w:t xml:space="preserve"> 443.276 circa al 31/12/2013)</w:t>
      </w:r>
      <w:r w:rsidR="00171BC5">
        <w:rPr>
          <w:rStyle w:val="CharacterStyle1"/>
          <w:rFonts w:ascii="Arial" w:hAnsi="Arial" w:cs="Arial"/>
          <w:sz w:val="22"/>
          <w:szCs w:val="22"/>
        </w:rPr>
        <w:t>:</w:t>
      </w:r>
      <w:r>
        <w:rPr>
          <w:rStyle w:val="CharacterStyle1"/>
          <w:rFonts w:ascii="Arial" w:hAnsi="Arial" w:cs="Arial"/>
          <w:sz w:val="22"/>
          <w:szCs w:val="22"/>
        </w:rPr>
        <w:t xml:space="preserve"> anche </w:t>
      </w:r>
      <w:r w:rsidRPr="007B5B50">
        <w:rPr>
          <w:rStyle w:val="CharacterStyle1"/>
          <w:rFonts w:ascii="Arial" w:hAnsi="Arial" w:cs="Arial"/>
          <w:sz w:val="22"/>
          <w:szCs w:val="22"/>
        </w:rPr>
        <w:t xml:space="preserve">questo esercizio si chiude con un avanzo di cassa consistente, </w:t>
      </w:r>
      <w:r w:rsidR="00171BC5" w:rsidRPr="00DC0AEB">
        <w:rPr>
          <w:rStyle w:val="CharacterStyle1"/>
          <w:rFonts w:ascii="Arial" w:hAnsi="Arial" w:cs="Arial"/>
          <w:sz w:val="22"/>
          <w:szCs w:val="22"/>
        </w:rPr>
        <w:t>generato</w:t>
      </w:r>
      <w:r w:rsidRPr="007B5B50">
        <w:rPr>
          <w:rStyle w:val="CharacterStyle1"/>
          <w:rFonts w:ascii="Arial" w:hAnsi="Arial" w:cs="Arial"/>
          <w:sz w:val="22"/>
          <w:szCs w:val="22"/>
        </w:rPr>
        <w:t xml:space="preserve"> principalmente da</w:t>
      </w:r>
      <w:r>
        <w:rPr>
          <w:rStyle w:val="CharacterStyle1"/>
          <w:rFonts w:ascii="Arial" w:hAnsi="Arial" w:cs="Arial"/>
          <w:sz w:val="22"/>
          <w:szCs w:val="22"/>
        </w:rPr>
        <w:t>lla razionalizzazione delle spese ordinarie di funzionamento, oltre che da proventi per opinamento parcelle</w:t>
      </w:r>
      <w:r w:rsidRPr="007B5B50">
        <w:rPr>
          <w:rStyle w:val="CharacterStyle1"/>
          <w:rFonts w:ascii="Arial" w:hAnsi="Arial" w:cs="Arial"/>
          <w:sz w:val="22"/>
          <w:szCs w:val="22"/>
        </w:rPr>
        <w:t>.</w:t>
      </w:r>
    </w:p>
    <w:p w:rsidR="007B5B50" w:rsidRPr="007B5B50" w:rsidRDefault="007B5B50" w:rsidP="007B5B50">
      <w:pPr>
        <w:pStyle w:val="Style1"/>
        <w:tabs>
          <w:tab w:val="left" w:pos="9638"/>
        </w:tabs>
        <w:spacing w:line="360" w:lineRule="auto"/>
        <w:rPr>
          <w:rStyle w:val="CharacterStyle1"/>
          <w:rFonts w:ascii="Arial" w:hAnsi="Arial" w:cs="Arial"/>
          <w:sz w:val="22"/>
          <w:szCs w:val="22"/>
        </w:rPr>
      </w:pPr>
    </w:p>
    <w:p w:rsidR="007A3474" w:rsidRDefault="007A3474" w:rsidP="007B5B50">
      <w:pPr>
        <w:pStyle w:val="Style1"/>
        <w:tabs>
          <w:tab w:val="left" w:pos="9638"/>
        </w:tabs>
        <w:spacing w:line="360" w:lineRule="auto"/>
        <w:rPr>
          <w:rStyle w:val="CharacterStyle1"/>
          <w:rFonts w:ascii="Arial" w:hAnsi="Arial" w:cs="Arial"/>
          <w:sz w:val="22"/>
          <w:szCs w:val="22"/>
        </w:rPr>
      </w:pPr>
    </w:p>
    <w:p w:rsidR="009B730D" w:rsidRDefault="00192135" w:rsidP="007B5B50">
      <w:pPr>
        <w:pStyle w:val="Style1"/>
        <w:tabs>
          <w:tab w:val="left" w:pos="9638"/>
        </w:tabs>
        <w:spacing w:line="360" w:lineRule="auto"/>
        <w:rPr>
          <w:rStyle w:val="CharacterStyle1"/>
          <w:rFonts w:ascii="Arial" w:hAnsi="Arial" w:cs="Arial"/>
          <w:sz w:val="22"/>
          <w:szCs w:val="22"/>
        </w:rPr>
      </w:pPr>
      <w:r>
        <w:rPr>
          <w:rStyle w:val="CharacterStyle1"/>
          <w:rFonts w:ascii="Arial" w:hAnsi="Arial" w:cs="Arial"/>
          <w:sz w:val="22"/>
          <w:szCs w:val="22"/>
        </w:rPr>
        <w:t>Prima di entr</w:t>
      </w:r>
      <w:r w:rsidR="009B730D">
        <w:rPr>
          <w:rStyle w:val="CharacterStyle1"/>
          <w:rFonts w:ascii="Arial" w:hAnsi="Arial" w:cs="Arial"/>
          <w:sz w:val="22"/>
          <w:szCs w:val="22"/>
        </w:rPr>
        <w:t>are nel merito del bilancio cons</w:t>
      </w:r>
      <w:r>
        <w:rPr>
          <w:rStyle w:val="CharacterStyle1"/>
          <w:rFonts w:ascii="Arial" w:hAnsi="Arial" w:cs="Arial"/>
          <w:sz w:val="22"/>
          <w:szCs w:val="22"/>
        </w:rPr>
        <w:t xml:space="preserve">untivo 2013, mi preme evidenziare alcuni elementi che </w:t>
      </w:r>
      <w:bookmarkStart w:id="0" w:name="_GoBack"/>
      <w:bookmarkEnd w:id="0"/>
      <w:r w:rsidR="009B730D">
        <w:rPr>
          <w:rStyle w:val="CharacterStyle1"/>
          <w:rFonts w:ascii="Arial" w:hAnsi="Arial" w:cs="Arial"/>
          <w:sz w:val="22"/>
          <w:szCs w:val="22"/>
        </w:rPr>
        <w:t>penso siano importanti per la valutazione dei risultati di tale bilancio:</w:t>
      </w:r>
    </w:p>
    <w:p w:rsidR="00192135" w:rsidRDefault="009B730D" w:rsidP="009B730D">
      <w:pPr>
        <w:pStyle w:val="Style1"/>
        <w:numPr>
          <w:ilvl w:val="0"/>
          <w:numId w:val="9"/>
        </w:numPr>
        <w:tabs>
          <w:tab w:val="left" w:pos="9638"/>
        </w:tabs>
        <w:spacing w:line="360" w:lineRule="auto"/>
        <w:rPr>
          <w:rStyle w:val="CharacterStyle1"/>
          <w:rFonts w:ascii="Arial" w:hAnsi="Arial" w:cs="Arial"/>
          <w:sz w:val="22"/>
          <w:szCs w:val="22"/>
        </w:rPr>
      </w:pPr>
      <w:r>
        <w:rPr>
          <w:rStyle w:val="CharacterStyle1"/>
          <w:rFonts w:ascii="Arial" w:hAnsi="Arial" w:cs="Arial"/>
          <w:sz w:val="22"/>
          <w:szCs w:val="22"/>
        </w:rPr>
        <w:t xml:space="preserve">Al 31 dicembre 2013 il numero di iscritti era di 1890  con uno scostamento positivo  - in </w:t>
      </w:r>
      <w:r>
        <w:rPr>
          <w:rStyle w:val="CharacterStyle1"/>
          <w:rFonts w:ascii="Arial" w:hAnsi="Arial" w:cs="Arial"/>
          <w:sz w:val="22"/>
          <w:szCs w:val="22"/>
        </w:rPr>
        <w:lastRenderedPageBreak/>
        <w:t xml:space="preserve">termini di entrate - rispetto a quanto preventivato. </w:t>
      </w:r>
      <w:r w:rsidR="002F3694">
        <w:rPr>
          <w:rStyle w:val="CharacterStyle1"/>
          <w:rFonts w:ascii="Arial" w:hAnsi="Arial" w:cs="Arial"/>
          <w:sz w:val="22"/>
          <w:szCs w:val="22"/>
        </w:rPr>
        <w:t>Si sottolinea però che</w:t>
      </w:r>
      <w:r w:rsidR="00590ED0">
        <w:rPr>
          <w:rStyle w:val="CharacterStyle1"/>
          <w:rFonts w:ascii="Arial" w:hAnsi="Arial" w:cs="Arial"/>
          <w:sz w:val="22"/>
          <w:szCs w:val="22"/>
        </w:rPr>
        <w:t xml:space="preserve"> il numero di nuovi iscrit</w:t>
      </w:r>
      <w:r>
        <w:rPr>
          <w:rStyle w:val="CharacterStyle1"/>
          <w:rFonts w:ascii="Arial" w:hAnsi="Arial" w:cs="Arial"/>
          <w:sz w:val="22"/>
          <w:szCs w:val="22"/>
        </w:rPr>
        <w:t xml:space="preserve">ti (n.48) </w:t>
      </w:r>
      <w:r w:rsidR="002F3694">
        <w:rPr>
          <w:rStyle w:val="CharacterStyle1"/>
          <w:rFonts w:ascii="Arial" w:hAnsi="Arial" w:cs="Arial"/>
          <w:sz w:val="22"/>
          <w:szCs w:val="22"/>
        </w:rPr>
        <w:t>è stato inferiore a quello</w:t>
      </w:r>
      <w:r>
        <w:rPr>
          <w:rStyle w:val="CharacterStyle1"/>
          <w:rFonts w:ascii="Arial" w:hAnsi="Arial" w:cs="Arial"/>
          <w:sz w:val="22"/>
          <w:szCs w:val="22"/>
        </w:rPr>
        <w:t xml:space="preserve"> dei 3 anni precedenti (Nuovi iscritti 2010 = n.66 – 2011 = n.69 – 2012= n.67)</w:t>
      </w:r>
      <w:r w:rsidR="00590ED0">
        <w:rPr>
          <w:rStyle w:val="CharacterStyle1"/>
          <w:rFonts w:ascii="Arial" w:hAnsi="Arial" w:cs="Arial"/>
          <w:sz w:val="22"/>
          <w:szCs w:val="22"/>
        </w:rPr>
        <w:t>, evidenziando una inversione di tendenza nel trend di iscrizione all’ordine.</w:t>
      </w:r>
    </w:p>
    <w:p w:rsidR="009B730D" w:rsidRDefault="002F3694" w:rsidP="009B730D">
      <w:pPr>
        <w:pStyle w:val="Style1"/>
        <w:numPr>
          <w:ilvl w:val="0"/>
          <w:numId w:val="9"/>
        </w:numPr>
        <w:tabs>
          <w:tab w:val="left" w:pos="9638"/>
        </w:tabs>
        <w:spacing w:line="360" w:lineRule="auto"/>
        <w:rPr>
          <w:rStyle w:val="CharacterStyle1"/>
          <w:rFonts w:ascii="Arial" w:hAnsi="Arial" w:cs="Arial"/>
          <w:sz w:val="22"/>
          <w:szCs w:val="22"/>
        </w:rPr>
      </w:pPr>
      <w:r>
        <w:rPr>
          <w:rStyle w:val="CharacterStyle1"/>
          <w:rFonts w:ascii="Arial" w:hAnsi="Arial" w:cs="Arial"/>
          <w:sz w:val="22"/>
          <w:szCs w:val="22"/>
        </w:rPr>
        <w:t xml:space="preserve">Per quanto riguarda le ‘Uscite per organi dell’Ente’ è stata </w:t>
      </w:r>
      <w:r w:rsidR="00590ED0">
        <w:rPr>
          <w:rStyle w:val="CharacterStyle1"/>
          <w:rFonts w:ascii="Arial" w:hAnsi="Arial" w:cs="Arial"/>
          <w:sz w:val="22"/>
          <w:szCs w:val="22"/>
        </w:rPr>
        <w:t>cancellata</w:t>
      </w:r>
      <w:r>
        <w:rPr>
          <w:rStyle w:val="CharacterStyle1"/>
          <w:rFonts w:ascii="Arial" w:hAnsi="Arial" w:cs="Arial"/>
          <w:sz w:val="22"/>
          <w:szCs w:val="22"/>
        </w:rPr>
        <w:t xml:space="preserve"> la prevista cifra di euro 500</w:t>
      </w:r>
      <w:r w:rsidR="00C73532">
        <w:rPr>
          <w:rStyle w:val="CharacterStyle1"/>
          <w:rFonts w:ascii="Arial" w:hAnsi="Arial" w:cs="Arial"/>
          <w:sz w:val="22"/>
          <w:szCs w:val="22"/>
        </w:rPr>
        <w:t xml:space="preserve"> alla voce “Rimborso Consiglieri”</w:t>
      </w:r>
      <w:r>
        <w:rPr>
          <w:rStyle w:val="CharacterStyle1"/>
          <w:rFonts w:ascii="Arial" w:hAnsi="Arial" w:cs="Arial"/>
          <w:sz w:val="22"/>
          <w:szCs w:val="22"/>
        </w:rPr>
        <w:t xml:space="preserve"> </w:t>
      </w:r>
      <w:r w:rsidR="00590ED0">
        <w:rPr>
          <w:rStyle w:val="CharacterStyle1"/>
          <w:rFonts w:ascii="Arial" w:hAnsi="Arial" w:cs="Arial"/>
          <w:sz w:val="22"/>
          <w:szCs w:val="22"/>
        </w:rPr>
        <w:t>. Va sottolineato infatti</w:t>
      </w:r>
      <w:r>
        <w:rPr>
          <w:rStyle w:val="CharacterStyle1"/>
          <w:rFonts w:ascii="Arial" w:hAnsi="Arial" w:cs="Arial"/>
          <w:sz w:val="22"/>
          <w:szCs w:val="22"/>
        </w:rPr>
        <w:t xml:space="preserve"> che ai consiglieri è attribuito esclusivamente il rimborso delle spese documentate di trasferta (1</w:t>
      </w:r>
      <w:r w:rsidR="00C73532">
        <w:rPr>
          <w:rStyle w:val="CharacterStyle1"/>
          <w:rFonts w:ascii="Arial" w:hAnsi="Arial" w:cs="Arial"/>
          <w:sz w:val="22"/>
          <w:szCs w:val="22"/>
        </w:rPr>
        <w:t>.</w:t>
      </w:r>
      <w:r>
        <w:rPr>
          <w:rStyle w:val="CharacterStyle1"/>
          <w:rFonts w:ascii="Arial" w:hAnsi="Arial" w:cs="Arial"/>
          <w:sz w:val="22"/>
          <w:szCs w:val="22"/>
        </w:rPr>
        <w:t>957,67</w:t>
      </w:r>
      <w:r w:rsidR="00590ED0">
        <w:rPr>
          <w:rStyle w:val="CharacterStyle1"/>
          <w:rFonts w:ascii="Arial" w:hAnsi="Arial" w:cs="Arial"/>
          <w:sz w:val="22"/>
          <w:szCs w:val="22"/>
        </w:rPr>
        <w:t xml:space="preserve"> </w:t>
      </w:r>
      <w:r>
        <w:rPr>
          <w:rStyle w:val="CharacterStyle1"/>
          <w:rFonts w:ascii="Arial" w:hAnsi="Arial" w:cs="Arial"/>
          <w:sz w:val="22"/>
          <w:szCs w:val="22"/>
        </w:rPr>
        <w:t>E</w:t>
      </w:r>
      <w:r w:rsidR="00590ED0">
        <w:rPr>
          <w:rStyle w:val="CharacterStyle1"/>
          <w:rFonts w:ascii="Arial" w:hAnsi="Arial" w:cs="Arial"/>
          <w:sz w:val="22"/>
          <w:szCs w:val="22"/>
        </w:rPr>
        <w:t>uro</w:t>
      </w:r>
      <w:r>
        <w:rPr>
          <w:rStyle w:val="CharacterStyle1"/>
          <w:rFonts w:ascii="Arial" w:hAnsi="Arial" w:cs="Arial"/>
          <w:sz w:val="22"/>
          <w:szCs w:val="22"/>
        </w:rPr>
        <w:t>)</w:t>
      </w:r>
    </w:p>
    <w:p w:rsidR="002F3694" w:rsidRDefault="002F3694" w:rsidP="00590ED0">
      <w:pPr>
        <w:pStyle w:val="Style1"/>
        <w:numPr>
          <w:ilvl w:val="0"/>
          <w:numId w:val="9"/>
        </w:numPr>
        <w:tabs>
          <w:tab w:val="left" w:pos="9638"/>
        </w:tabs>
        <w:spacing w:line="360" w:lineRule="auto"/>
        <w:rPr>
          <w:rStyle w:val="CharacterStyle1"/>
          <w:rFonts w:ascii="Arial" w:hAnsi="Arial" w:cs="Arial"/>
          <w:sz w:val="22"/>
          <w:szCs w:val="22"/>
        </w:rPr>
      </w:pPr>
      <w:r w:rsidRPr="006012D4">
        <w:rPr>
          <w:rStyle w:val="CharacterStyle1"/>
          <w:rFonts w:ascii="Arial" w:hAnsi="Arial" w:cs="Arial"/>
          <w:sz w:val="22"/>
          <w:szCs w:val="22"/>
        </w:rPr>
        <w:t>c</w:t>
      </w:r>
      <w:r w:rsidRPr="004639C2">
        <w:rPr>
          <w:rStyle w:val="CharacterStyle1"/>
          <w:rFonts w:ascii="Arial" w:hAnsi="Arial" w:cs="Arial"/>
          <w:sz w:val="22"/>
          <w:szCs w:val="22"/>
        </w:rPr>
        <w:t>oerentemente con gli obiettivi di previsione 201</w:t>
      </w:r>
      <w:r>
        <w:rPr>
          <w:rStyle w:val="CharacterStyle1"/>
          <w:rFonts w:ascii="Arial" w:hAnsi="Arial" w:cs="Arial"/>
          <w:sz w:val="22"/>
          <w:szCs w:val="22"/>
        </w:rPr>
        <w:t>3</w:t>
      </w:r>
      <w:r w:rsidRPr="004639C2">
        <w:rPr>
          <w:rStyle w:val="CharacterStyle1"/>
          <w:rFonts w:ascii="Arial" w:hAnsi="Arial" w:cs="Arial"/>
          <w:sz w:val="22"/>
          <w:szCs w:val="22"/>
        </w:rPr>
        <w:t>,</w:t>
      </w:r>
      <w:r>
        <w:rPr>
          <w:rStyle w:val="CharacterStyle1"/>
          <w:rFonts w:ascii="Arial" w:hAnsi="Arial" w:cs="Arial"/>
          <w:sz w:val="22"/>
          <w:szCs w:val="22"/>
        </w:rPr>
        <w:t xml:space="preserve"> </w:t>
      </w:r>
      <w:r w:rsidRPr="004639C2">
        <w:rPr>
          <w:rStyle w:val="CharacterStyle1"/>
          <w:rFonts w:ascii="Arial" w:hAnsi="Arial" w:cs="Arial"/>
          <w:sz w:val="22"/>
          <w:szCs w:val="22"/>
        </w:rPr>
        <w:t xml:space="preserve">sono state promosse </w:t>
      </w:r>
      <w:r>
        <w:rPr>
          <w:rStyle w:val="CharacterStyle1"/>
          <w:rFonts w:ascii="Arial" w:hAnsi="Arial" w:cs="Arial"/>
          <w:sz w:val="22"/>
          <w:szCs w:val="22"/>
        </w:rPr>
        <w:t>e sviluppate</w:t>
      </w:r>
      <w:r w:rsidRPr="004639C2">
        <w:rPr>
          <w:rStyle w:val="CharacterStyle1"/>
          <w:rFonts w:ascii="Arial" w:hAnsi="Arial" w:cs="Arial"/>
          <w:sz w:val="22"/>
          <w:szCs w:val="22"/>
        </w:rPr>
        <w:t xml:space="preserve"> attività</w:t>
      </w:r>
      <w:r>
        <w:rPr>
          <w:rStyle w:val="CharacterStyle1"/>
          <w:rFonts w:ascii="Arial" w:hAnsi="Arial" w:cs="Arial"/>
          <w:sz w:val="22"/>
          <w:szCs w:val="22"/>
        </w:rPr>
        <w:t xml:space="preserve"> di miglioramento dei servizi e di valorizzazione della figura professionale. In </w:t>
      </w:r>
      <w:r w:rsidRPr="006626FA">
        <w:rPr>
          <w:rStyle w:val="CharacterStyle1"/>
          <w:rFonts w:ascii="Arial" w:hAnsi="Arial" w:cs="Arial"/>
          <w:sz w:val="22"/>
          <w:szCs w:val="22"/>
        </w:rPr>
        <w:t>particolare</w:t>
      </w:r>
      <w:r w:rsidR="006626FA" w:rsidRPr="006626FA">
        <w:rPr>
          <w:rStyle w:val="CharacterStyle1"/>
          <w:rFonts w:ascii="Arial" w:hAnsi="Arial" w:cs="Arial"/>
          <w:sz w:val="22"/>
          <w:szCs w:val="22"/>
        </w:rPr>
        <w:t>:</w:t>
      </w:r>
      <w:r w:rsidR="006626FA" w:rsidRPr="006626FA">
        <w:rPr>
          <w:rFonts w:ascii="Arial" w:hAnsi="Arial" w:cs="Arial"/>
          <w:sz w:val="22"/>
          <w:szCs w:val="22"/>
        </w:rPr>
        <w:t xml:space="preserve"> a) </w:t>
      </w:r>
      <w:r w:rsidR="006626FA" w:rsidRPr="006626FA">
        <w:rPr>
          <w:rStyle w:val="CharacterStyle1"/>
          <w:rFonts w:ascii="Arial" w:hAnsi="Arial" w:cs="Arial"/>
          <w:sz w:val="22"/>
          <w:szCs w:val="22"/>
        </w:rPr>
        <w:t>conferma dell’abbonamento ad Europa Concorsi;</w:t>
      </w:r>
      <w:r w:rsidR="006626FA">
        <w:rPr>
          <w:rStyle w:val="CharacterStyle1"/>
          <w:rFonts w:ascii="Arial" w:hAnsi="Arial" w:cs="Arial"/>
          <w:sz w:val="22"/>
          <w:szCs w:val="22"/>
        </w:rPr>
        <w:t xml:space="preserve"> b) </w:t>
      </w:r>
      <w:r w:rsidR="006626FA" w:rsidRPr="006626FA">
        <w:rPr>
          <w:rStyle w:val="CharacterStyle1"/>
          <w:rFonts w:ascii="Arial" w:hAnsi="Arial" w:cs="Arial"/>
          <w:sz w:val="22"/>
          <w:szCs w:val="22"/>
        </w:rPr>
        <w:t xml:space="preserve">servizio di rassegna stampa quotidiana sui temi sensibili della professione di architetto (tre quotidiani con cronaca e “il sole 24 ore”), realizzato internamente dal personale dipendente e </w:t>
      </w:r>
      <w:r w:rsidR="006626FA">
        <w:rPr>
          <w:rStyle w:val="CharacterStyle1"/>
          <w:rFonts w:ascii="Arial" w:hAnsi="Arial" w:cs="Arial"/>
          <w:sz w:val="22"/>
          <w:szCs w:val="22"/>
        </w:rPr>
        <w:t xml:space="preserve">reso </w:t>
      </w:r>
      <w:r w:rsidR="006626FA" w:rsidRPr="006626FA">
        <w:rPr>
          <w:rStyle w:val="CharacterStyle1"/>
          <w:rFonts w:ascii="Arial" w:hAnsi="Arial" w:cs="Arial"/>
          <w:sz w:val="22"/>
          <w:szCs w:val="22"/>
        </w:rPr>
        <w:t xml:space="preserve">disponibile </w:t>
      </w:r>
      <w:r w:rsidR="006626FA">
        <w:rPr>
          <w:rStyle w:val="CharacterStyle1"/>
          <w:rFonts w:ascii="Arial" w:hAnsi="Arial" w:cs="Arial"/>
          <w:sz w:val="22"/>
          <w:szCs w:val="22"/>
        </w:rPr>
        <w:t>a</w:t>
      </w:r>
      <w:r w:rsidR="006626FA" w:rsidRPr="006626FA">
        <w:rPr>
          <w:rStyle w:val="CharacterStyle1"/>
          <w:rFonts w:ascii="Arial" w:hAnsi="Arial" w:cs="Arial"/>
          <w:sz w:val="22"/>
          <w:szCs w:val="22"/>
        </w:rPr>
        <w:t xml:space="preserve"> tutti gli iscritti </w:t>
      </w:r>
      <w:r w:rsidR="006626FA">
        <w:rPr>
          <w:rStyle w:val="CharacterStyle1"/>
          <w:rFonts w:ascii="Arial" w:hAnsi="Arial" w:cs="Arial"/>
          <w:sz w:val="22"/>
          <w:szCs w:val="22"/>
        </w:rPr>
        <w:t xml:space="preserve">sino a </w:t>
      </w:r>
      <w:r w:rsidR="00590ED0">
        <w:rPr>
          <w:rStyle w:val="CharacterStyle1"/>
          <w:rFonts w:ascii="Arial" w:hAnsi="Arial" w:cs="Arial"/>
          <w:sz w:val="22"/>
          <w:szCs w:val="22"/>
        </w:rPr>
        <w:t>dicembre 2013</w:t>
      </w:r>
      <w:r w:rsidR="006626FA">
        <w:rPr>
          <w:rStyle w:val="CharacterStyle1"/>
          <w:rFonts w:ascii="Arial" w:hAnsi="Arial" w:cs="Arial"/>
          <w:sz w:val="22"/>
          <w:szCs w:val="22"/>
        </w:rPr>
        <w:t xml:space="preserve"> (data in cui è </w:t>
      </w:r>
      <w:r w:rsidR="00590ED0" w:rsidRPr="00590ED0">
        <w:rPr>
          <w:rStyle w:val="CharacterStyle1"/>
          <w:rFonts w:ascii="Arial" w:hAnsi="Arial" w:cs="Arial"/>
          <w:sz w:val="22"/>
          <w:szCs w:val="22"/>
        </w:rPr>
        <w:t xml:space="preserve"> </w:t>
      </w:r>
      <w:r w:rsidR="00590ED0">
        <w:rPr>
          <w:rStyle w:val="CharacterStyle1"/>
          <w:rFonts w:ascii="Arial" w:hAnsi="Arial" w:cs="Arial"/>
          <w:sz w:val="22"/>
          <w:szCs w:val="22"/>
        </w:rPr>
        <w:t xml:space="preserve">si è deciso di </w:t>
      </w:r>
      <w:r w:rsidR="00590ED0" w:rsidRPr="00590ED0">
        <w:rPr>
          <w:rStyle w:val="CharacterStyle1"/>
          <w:rFonts w:ascii="Arial" w:hAnsi="Arial" w:cs="Arial"/>
          <w:sz w:val="22"/>
          <w:szCs w:val="22"/>
        </w:rPr>
        <w:t xml:space="preserve">oscurare temporaneamente lo spazio destinato alla Rassegna Stampa </w:t>
      </w:r>
      <w:r w:rsidR="00590ED0">
        <w:rPr>
          <w:rStyle w:val="CharacterStyle1"/>
          <w:rFonts w:ascii="Arial" w:hAnsi="Arial" w:cs="Arial"/>
          <w:sz w:val="22"/>
          <w:szCs w:val="22"/>
        </w:rPr>
        <w:t>per</w:t>
      </w:r>
      <w:r w:rsidR="00590ED0" w:rsidRPr="00590ED0">
        <w:rPr>
          <w:rStyle w:val="CharacterStyle1"/>
          <w:rFonts w:ascii="Arial" w:hAnsi="Arial" w:cs="Arial"/>
          <w:sz w:val="22"/>
          <w:szCs w:val="22"/>
        </w:rPr>
        <w:t xml:space="preserve"> una serie di contenziosi legali emersi in materia di diritto d'autore</w:t>
      </w:r>
      <w:r w:rsidR="00590ED0">
        <w:rPr>
          <w:rStyle w:val="CharacterStyle1"/>
          <w:rFonts w:ascii="Arial" w:hAnsi="Arial" w:cs="Arial"/>
          <w:sz w:val="22"/>
          <w:szCs w:val="22"/>
        </w:rPr>
        <w:t xml:space="preserve"> a livello nazionale</w:t>
      </w:r>
      <w:r w:rsidR="006626FA">
        <w:rPr>
          <w:rStyle w:val="CharacterStyle1"/>
          <w:rFonts w:ascii="Arial" w:hAnsi="Arial" w:cs="Arial"/>
          <w:sz w:val="22"/>
          <w:szCs w:val="22"/>
        </w:rPr>
        <w:t>)</w:t>
      </w:r>
      <w:r w:rsidR="006626FA" w:rsidRPr="006626FA">
        <w:rPr>
          <w:rStyle w:val="CharacterStyle1"/>
          <w:rFonts w:ascii="Arial" w:hAnsi="Arial" w:cs="Arial"/>
          <w:sz w:val="22"/>
          <w:szCs w:val="22"/>
        </w:rPr>
        <w:t>;</w:t>
      </w:r>
      <w:r w:rsidR="006626FA">
        <w:rPr>
          <w:rStyle w:val="CharacterStyle1"/>
          <w:rFonts w:ascii="Arial" w:hAnsi="Arial" w:cs="Arial"/>
          <w:sz w:val="22"/>
          <w:szCs w:val="22"/>
        </w:rPr>
        <w:t xml:space="preserve"> c) </w:t>
      </w:r>
      <w:r w:rsidR="006626FA" w:rsidRPr="006626FA">
        <w:rPr>
          <w:rStyle w:val="CharacterStyle1"/>
          <w:rFonts w:ascii="Arial" w:hAnsi="Arial" w:cs="Arial"/>
          <w:sz w:val="22"/>
          <w:szCs w:val="22"/>
        </w:rPr>
        <w:t xml:space="preserve">conferma dei servizi relativi alla banca dati normativa on line </w:t>
      </w:r>
      <w:proofErr w:type="spellStart"/>
      <w:r w:rsidR="00C73532">
        <w:rPr>
          <w:rStyle w:val="CharacterStyle1"/>
          <w:rFonts w:ascii="Arial" w:hAnsi="Arial" w:cs="Arial"/>
          <w:sz w:val="22"/>
          <w:szCs w:val="22"/>
        </w:rPr>
        <w:t>Starch</w:t>
      </w:r>
      <w:proofErr w:type="spellEnd"/>
      <w:r w:rsidR="007D4922">
        <w:rPr>
          <w:rStyle w:val="CharacterStyle1"/>
          <w:rFonts w:ascii="Arial" w:hAnsi="Arial" w:cs="Arial"/>
          <w:sz w:val="22"/>
          <w:szCs w:val="22"/>
        </w:rPr>
        <w:t>, alle visure catastali</w:t>
      </w:r>
      <w:r w:rsidR="00C73532">
        <w:rPr>
          <w:rStyle w:val="CharacterStyle1"/>
          <w:rFonts w:ascii="Arial" w:hAnsi="Arial" w:cs="Arial"/>
          <w:sz w:val="22"/>
          <w:szCs w:val="22"/>
        </w:rPr>
        <w:t>.</w:t>
      </w:r>
      <w:r w:rsidR="00D91C4A">
        <w:rPr>
          <w:rStyle w:val="CharacterStyle1"/>
          <w:rFonts w:ascii="Arial" w:hAnsi="Arial" w:cs="Arial"/>
          <w:sz w:val="22"/>
          <w:szCs w:val="22"/>
        </w:rPr>
        <w:t xml:space="preserve"> Per questi servizi on-line  </w:t>
      </w:r>
      <w:r w:rsidR="00590ED0">
        <w:rPr>
          <w:rStyle w:val="CharacterStyle1"/>
          <w:rFonts w:ascii="Arial" w:hAnsi="Arial" w:cs="Arial"/>
          <w:sz w:val="22"/>
          <w:szCs w:val="22"/>
        </w:rPr>
        <w:t>a favore de</w:t>
      </w:r>
      <w:r w:rsidR="00D91C4A">
        <w:rPr>
          <w:rStyle w:val="CharacterStyle1"/>
          <w:rFonts w:ascii="Arial" w:hAnsi="Arial" w:cs="Arial"/>
          <w:sz w:val="22"/>
          <w:szCs w:val="22"/>
        </w:rPr>
        <w:t xml:space="preserve">gli iscritti l’Ordine ha investito </w:t>
      </w:r>
      <w:r w:rsidR="00590ED0">
        <w:rPr>
          <w:rStyle w:val="CharacterStyle1"/>
          <w:rFonts w:ascii="Arial" w:hAnsi="Arial" w:cs="Arial"/>
          <w:sz w:val="22"/>
          <w:szCs w:val="22"/>
        </w:rPr>
        <w:t xml:space="preserve">complessivamente </w:t>
      </w:r>
      <w:r w:rsidR="00D91C4A">
        <w:rPr>
          <w:rStyle w:val="CharacterStyle1"/>
          <w:rFonts w:ascii="Arial" w:hAnsi="Arial" w:cs="Arial"/>
          <w:sz w:val="22"/>
          <w:szCs w:val="22"/>
        </w:rPr>
        <w:t>6</w:t>
      </w:r>
      <w:r w:rsidR="00C73532">
        <w:rPr>
          <w:rStyle w:val="CharacterStyle1"/>
          <w:rFonts w:ascii="Arial" w:hAnsi="Arial" w:cs="Arial"/>
          <w:sz w:val="22"/>
          <w:szCs w:val="22"/>
        </w:rPr>
        <w:t>.</w:t>
      </w:r>
      <w:r w:rsidR="00D91C4A">
        <w:rPr>
          <w:rStyle w:val="CharacterStyle1"/>
          <w:rFonts w:ascii="Arial" w:hAnsi="Arial" w:cs="Arial"/>
          <w:sz w:val="22"/>
          <w:szCs w:val="22"/>
        </w:rPr>
        <w:t>393,64 Euro</w:t>
      </w:r>
      <w:r w:rsidR="00C73532">
        <w:rPr>
          <w:rStyle w:val="CharacterStyle1"/>
          <w:rFonts w:ascii="Arial" w:hAnsi="Arial" w:cs="Arial"/>
          <w:sz w:val="22"/>
          <w:szCs w:val="22"/>
        </w:rPr>
        <w:t>.</w:t>
      </w:r>
    </w:p>
    <w:p w:rsidR="00D91C4A" w:rsidRDefault="00D91C4A" w:rsidP="006626FA">
      <w:pPr>
        <w:pStyle w:val="Style1"/>
        <w:numPr>
          <w:ilvl w:val="0"/>
          <w:numId w:val="9"/>
        </w:numPr>
        <w:tabs>
          <w:tab w:val="left" w:pos="9638"/>
        </w:tabs>
        <w:spacing w:line="360" w:lineRule="auto"/>
        <w:rPr>
          <w:rStyle w:val="CharacterStyle1"/>
          <w:rFonts w:ascii="Arial" w:hAnsi="Arial" w:cs="Arial"/>
          <w:sz w:val="22"/>
          <w:szCs w:val="22"/>
        </w:rPr>
      </w:pPr>
      <w:r>
        <w:rPr>
          <w:rStyle w:val="CharacterStyle1"/>
          <w:rFonts w:ascii="Arial" w:hAnsi="Arial" w:cs="Arial"/>
          <w:sz w:val="22"/>
          <w:szCs w:val="22"/>
        </w:rPr>
        <w:t>Le commissioni attivate nel 2013 – c</w:t>
      </w:r>
      <w:r w:rsidR="00590ED0">
        <w:rPr>
          <w:rStyle w:val="CharacterStyle1"/>
          <w:rFonts w:ascii="Arial" w:hAnsi="Arial" w:cs="Arial"/>
          <w:sz w:val="22"/>
          <w:szCs w:val="22"/>
        </w:rPr>
        <w:t>he evidenziano a bilancio</w:t>
      </w:r>
      <w:r>
        <w:rPr>
          <w:rStyle w:val="CharacterStyle1"/>
          <w:rFonts w:ascii="Arial" w:hAnsi="Arial" w:cs="Arial"/>
          <w:sz w:val="22"/>
          <w:szCs w:val="22"/>
        </w:rPr>
        <w:t xml:space="preserve"> un</w:t>
      </w:r>
      <w:r w:rsidR="00590ED0">
        <w:rPr>
          <w:rStyle w:val="CharacterStyle1"/>
          <w:rFonts w:ascii="Arial" w:hAnsi="Arial" w:cs="Arial"/>
          <w:sz w:val="22"/>
          <w:szCs w:val="22"/>
        </w:rPr>
        <w:t>a</w:t>
      </w:r>
      <w:r>
        <w:rPr>
          <w:rStyle w:val="CharacterStyle1"/>
          <w:rFonts w:ascii="Arial" w:hAnsi="Arial" w:cs="Arial"/>
          <w:sz w:val="22"/>
          <w:szCs w:val="22"/>
        </w:rPr>
        <w:t xml:space="preserve"> uscita complessiva di 24.000,00 Euro – hanno lavorato sui temi di interesse comune legati all’aggiornamento normativo, alla cultura, alla formazione, ed in particolare:</w:t>
      </w:r>
    </w:p>
    <w:p w:rsidR="00D91C4A" w:rsidRPr="00F563B4" w:rsidRDefault="00F563B4" w:rsidP="00F563B4">
      <w:pPr>
        <w:pStyle w:val="Style1"/>
        <w:numPr>
          <w:ilvl w:val="1"/>
          <w:numId w:val="9"/>
        </w:numPr>
        <w:tabs>
          <w:tab w:val="left" w:pos="9638"/>
        </w:tabs>
        <w:spacing w:line="360" w:lineRule="auto"/>
        <w:rPr>
          <w:rStyle w:val="CharacterStyle1"/>
          <w:rFonts w:ascii="Arial" w:hAnsi="Arial" w:cs="Arial"/>
          <w:sz w:val="22"/>
          <w:szCs w:val="22"/>
        </w:rPr>
      </w:pPr>
      <w:r w:rsidRPr="007D12DB">
        <w:rPr>
          <w:rStyle w:val="CharacterStyle1"/>
          <w:rFonts w:ascii="Arial" w:hAnsi="Arial" w:cs="Arial"/>
          <w:b/>
          <w:sz w:val="22"/>
          <w:szCs w:val="22"/>
        </w:rPr>
        <w:t>La Commissione Normative</w:t>
      </w:r>
      <w:r w:rsidRPr="00F563B4">
        <w:rPr>
          <w:rStyle w:val="CharacterStyle1"/>
          <w:rFonts w:ascii="Arial" w:hAnsi="Arial" w:cs="Arial"/>
          <w:sz w:val="22"/>
          <w:szCs w:val="22"/>
        </w:rPr>
        <w:t xml:space="preserve"> </w:t>
      </w:r>
      <w:r w:rsidR="00C73532">
        <w:rPr>
          <w:rStyle w:val="CharacterStyle1"/>
          <w:rFonts w:ascii="Arial" w:hAnsi="Arial" w:cs="Arial"/>
          <w:sz w:val="22"/>
          <w:szCs w:val="22"/>
        </w:rPr>
        <w:t>ha seguito</w:t>
      </w:r>
      <w:r w:rsidRPr="00F563B4">
        <w:rPr>
          <w:rStyle w:val="CharacterStyle1"/>
          <w:rFonts w:ascii="Arial" w:hAnsi="Arial" w:cs="Arial"/>
          <w:sz w:val="22"/>
          <w:szCs w:val="22"/>
        </w:rPr>
        <w:t xml:space="preserve"> l’evolversi della normativa edilizia ed urbanistica, con una forte attività propositiva presso gli Enti e Amministrazioni legiferanti, tesa a migliorare la applicabilità della norma e la conseguente qualità architettonica ed edilizia.</w:t>
      </w:r>
      <w:r>
        <w:rPr>
          <w:rStyle w:val="CharacterStyle1"/>
          <w:rFonts w:ascii="Arial" w:hAnsi="Arial" w:cs="Arial"/>
          <w:sz w:val="22"/>
          <w:szCs w:val="22"/>
        </w:rPr>
        <w:t xml:space="preserve"> </w:t>
      </w:r>
      <w:r w:rsidRPr="00F563B4">
        <w:rPr>
          <w:rStyle w:val="CharacterStyle1"/>
          <w:rFonts w:ascii="Arial" w:hAnsi="Arial" w:cs="Arial"/>
          <w:sz w:val="22"/>
          <w:szCs w:val="22"/>
        </w:rPr>
        <w:t>In particolare, attraverso il lavoro di una trentina di architetti che prendono in carico i diversi temi, negli ultimi anni la Commissione Normative ha affrontato circa 60 temi specifici (RUE, leggi regionali, regolamenti specifici, norme di settore, ecc.), interloquendo con una ventina di referenti istituzionali (Regione, Provincia, Comuni, Direzione Regionale Beni Culturali, Soprintendenza, ASL, VVF, ecc.), producendo circa un centinaio di documenti, che possono essere semplici lettere o articolate osservazioni ai RUE, e coordinando il proprio lavoro, quando necessario e possibile, con quello della Federazione degli Architetti e con gli altri Ordini, Collegi e Associazioni professionali della Provincia di Bologna.</w:t>
      </w:r>
      <w:r>
        <w:rPr>
          <w:rStyle w:val="CharacterStyle1"/>
          <w:rFonts w:ascii="Arial" w:hAnsi="Arial" w:cs="Arial"/>
          <w:sz w:val="22"/>
          <w:szCs w:val="22"/>
        </w:rPr>
        <w:t xml:space="preserve"> </w:t>
      </w:r>
      <w:r w:rsidRPr="00F563B4">
        <w:rPr>
          <w:rStyle w:val="CharacterStyle1"/>
          <w:rFonts w:ascii="Arial" w:hAnsi="Arial" w:cs="Arial"/>
          <w:sz w:val="22"/>
          <w:szCs w:val="22"/>
        </w:rPr>
        <w:t>Di tutta la attività, viene data informazione agli iscritti mediante la pubblicazione sul sito dell’Ordine di tutti i verbali delle sedute, e di tutti i documenti prodotti, oltre a mail dedicate quando la r</w:t>
      </w:r>
      <w:r w:rsidR="00C73532">
        <w:rPr>
          <w:rStyle w:val="CharacterStyle1"/>
          <w:rFonts w:ascii="Arial" w:hAnsi="Arial" w:cs="Arial"/>
          <w:sz w:val="22"/>
          <w:szCs w:val="22"/>
        </w:rPr>
        <w:t>ilevanza del tema lo suggerisce.</w:t>
      </w:r>
    </w:p>
    <w:p w:rsidR="00D91C4A" w:rsidRDefault="00D91C4A" w:rsidP="007D12DB">
      <w:pPr>
        <w:pStyle w:val="Style1"/>
        <w:numPr>
          <w:ilvl w:val="1"/>
          <w:numId w:val="9"/>
        </w:numPr>
        <w:tabs>
          <w:tab w:val="left" w:pos="9638"/>
        </w:tabs>
        <w:spacing w:line="360" w:lineRule="auto"/>
        <w:rPr>
          <w:rStyle w:val="CharacterStyle1"/>
          <w:rFonts w:ascii="Arial" w:hAnsi="Arial" w:cs="Arial"/>
          <w:sz w:val="22"/>
          <w:szCs w:val="22"/>
        </w:rPr>
      </w:pPr>
      <w:r w:rsidRPr="007D12DB">
        <w:rPr>
          <w:rStyle w:val="CharacterStyle1"/>
          <w:rFonts w:ascii="Arial" w:hAnsi="Arial" w:cs="Arial"/>
          <w:b/>
          <w:sz w:val="22"/>
          <w:szCs w:val="22"/>
        </w:rPr>
        <w:t>La Commis</w:t>
      </w:r>
      <w:r w:rsidR="007D12DB" w:rsidRPr="007D12DB">
        <w:rPr>
          <w:rStyle w:val="CharacterStyle1"/>
          <w:rFonts w:ascii="Arial" w:hAnsi="Arial" w:cs="Arial"/>
          <w:b/>
          <w:sz w:val="22"/>
          <w:szCs w:val="22"/>
        </w:rPr>
        <w:t>s</w:t>
      </w:r>
      <w:r w:rsidRPr="007D12DB">
        <w:rPr>
          <w:rStyle w:val="CharacterStyle1"/>
          <w:rFonts w:ascii="Arial" w:hAnsi="Arial" w:cs="Arial"/>
          <w:b/>
          <w:sz w:val="22"/>
          <w:szCs w:val="22"/>
        </w:rPr>
        <w:t>ione Cultura</w:t>
      </w:r>
      <w:r w:rsidR="007D12DB">
        <w:rPr>
          <w:rStyle w:val="CharacterStyle1"/>
          <w:rFonts w:ascii="Arial" w:hAnsi="Arial" w:cs="Arial"/>
          <w:sz w:val="22"/>
          <w:szCs w:val="22"/>
        </w:rPr>
        <w:t xml:space="preserve"> – ha o</w:t>
      </w:r>
      <w:r w:rsidR="007D12DB" w:rsidRPr="007D12DB">
        <w:rPr>
          <w:rStyle w:val="CharacterStyle1"/>
          <w:rFonts w:ascii="Arial" w:hAnsi="Arial" w:cs="Arial"/>
          <w:sz w:val="22"/>
          <w:szCs w:val="22"/>
        </w:rPr>
        <w:t>rganizza</w:t>
      </w:r>
      <w:r w:rsidR="007D12DB">
        <w:rPr>
          <w:rStyle w:val="CharacterStyle1"/>
          <w:rFonts w:ascii="Arial" w:hAnsi="Arial" w:cs="Arial"/>
          <w:sz w:val="22"/>
          <w:szCs w:val="22"/>
        </w:rPr>
        <w:t>to</w:t>
      </w:r>
      <w:r w:rsidR="007D12DB" w:rsidRPr="007D12DB">
        <w:rPr>
          <w:rStyle w:val="CharacterStyle1"/>
          <w:rFonts w:ascii="Arial" w:hAnsi="Arial" w:cs="Arial"/>
          <w:sz w:val="22"/>
          <w:szCs w:val="22"/>
        </w:rPr>
        <w:t xml:space="preserve"> eventi culturali di varia natura, fra cui visite a cantieri significativi</w:t>
      </w:r>
      <w:r w:rsidR="007D12DB">
        <w:rPr>
          <w:rStyle w:val="CharacterStyle1"/>
          <w:rFonts w:ascii="Arial" w:hAnsi="Arial" w:cs="Arial"/>
          <w:sz w:val="22"/>
          <w:szCs w:val="22"/>
        </w:rPr>
        <w:t xml:space="preserve"> del territorio; organizzazione</w:t>
      </w:r>
      <w:r w:rsidR="007D12DB" w:rsidRPr="007D12DB">
        <w:rPr>
          <w:rStyle w:val="CharacterStyle1"/>
          <w:rFonts w:ascii="Arial" w:hAnsi="Arial" w:cs="Arial"/>
          <w:sz w:val="22"/>
          <w:szCs w:val="22"/>
        </w:rPr>
        <w:t xml:space="preserve"> scientifica di mostre, </w:t>
      </w:r>
      <w:r w:rsidR="007D12DB" w:rsidRPr="007D12DB">
        <w:rPr>
          <w:rStyle w:val="CharacterStyle1"/>
          <w:rFonts w:ascii="Arial" w:hAnsi="Arial" w:cs="Arial"/>
          <w:sz w:val="22"/>
          <w:szCs w:val="22"/>
        </w:rPr>
        <w:lastRenderedPageBreak/>
        <w:t xml:space="preserve">rassegne cinematografiche, conferenze, incontri ed  eventi legati all'architettura; gestisce le attività di Studi Aperti in occasione  di vari eventi cittadini (Saie, in primo luogo);  organizza e propone </w:t>
      </w:r>
      <w:proofErr w:type="spellStart"/>
      <w:r w:rsidR="007D12DB" w:rsidRPr="007D12DB">
        <w:rPr>
          <w:rStyle w:val="CharacterStyle1"/>
          <w:rFonts w:ascii="Arial" w:hAnsi="Arial" w:cs="Arial"/>
          <w:sz w:val="22"/>
          <w:szCs w:val="22"/>
        </w:rPr>
        <w:t>cicloviste</w:t>
      </w:r>
      <w:proofErr w:type="spellEnd"/>
      <w:r w:rsidR="007D12DB" w:rsidRPr="007D12DB">
        <w:rPr>
          <w:rStyle w:val="CharacterStyle1"/>
          <w:rFonts w:ascii="Arial" w:hAnsi="Arial" w:cs="Arial"/>
          <w:sz w:val="22"/>
          <w:szCs w:val="22"/>
        </w:rPr>
        <w:t xml:space="preserve"> ai luoghi dell'architettura</w:t>
      </w:r>
      <w:r w:rsidR="007D4922">
        <w:rPr>
          <w:rStyle w:val="CharacterStyle1"/>
          <w:rFonts w:ascii="Arial" w:hAnsi="Arial" w:cs="Arial"/>
          <w:sz w:val="22"/>
          <w:szCs w:val="22"/>
        </w:rPr>
        <w:t xml:space="preserve">. In particolare le voci di costo attengono ad alcune importanti iniziative sviluppate dalla commissione come la Mostra di Giulio Ulisse Arata, mostra sull’architettura finlandese e i Dialoghi di Architettura inseriti nel programma estivo del Comune di Bologna. </w:t>
      </w:r>
    </w:p>
    <w:p w:rsidR="00FE44B8" w:rsidRPr="00FE44B8" w:rsidRDefault="00D91C4A" w:rsidP="00FE44B8">
      <w:pPr>
        <w:pStyle w:val="Style1"/>
        <w:numPr>
          <w:ilvl w:val="1"/>
          <w:numId w:val="9"/>
        </w:numPr>
        <w:tabs>
          <w:tab w:val="left" w:pos="9638"/>
        </w:tabs>
        <w:spacing w:line="360" w:lineRule="auto"/>
        <w:rPr>
          <w:rStyle w:val="CharacterStyle1"/>
          <w:rFonts w:ascii="Arial" w:hAnsi="Arial" w:cs="Arial"/>
          <w:sz w:val="22"/>
          <w:szCs w:val="22"/>
        </w:rPr>
      </w:pPr>
      <w:r w:rsidRPr="00FE44B8">
        <w:rPr>
          <w:rStyle w:val="CharacterStyle1"/>
          <w:rFonts w:ascii="Arial" w:hAnsi="Arial" w:cs="Arial"/>
          <w:b/>
          <w:sz w:val="22"/>
          <w:szCs w:val="22"/>
        </w:rPr>
        <w:t>La Commissione Concorsi</w:t>
      </w:r>
      <w:r w:rsidR="00FE44B8">
        <w:rPr>
          <w:rStyle w:val="CharacterStyle1"/>
          <w:rFonts w:ascii="Arial" w:hAnsi="Arial" w:cs="Arial"/>
          <w:sz w:val="22"/>
          <w:szCs w:val="22"/>
        </w:rPr>
        <w:t xml:space="preserve"> - </w:t>
      </w:r>
      <w:r w:rsidR="00FE44B8" w:rsidRPr="00FE44B8">
        <w:rPr>
          <w:rStyle w:val="CharacterStyle1"/>
          <w:rFonts w:ascii="Arial" w:hAnsi="Arial" w:cs="Arial"/>
          <w:sz w:val="22"/>
          <w:szCs w:val="22"/>
        </w:rPr>
        <w:t xml:space="preserve"> promuove l’istituto del concorso d’architettura presso Enti pub</w:t>
      </w:r>
      <w:r w:rsidR="00FE44B8">
        <w:rPr>
          <w:rStyle w:val="CharacterStyle1"/>
          <w:rFonts w:ascii="Arial" w:hAnsi="Arial" w:cs="Arial"/>
          <w:sz w:val="22"/>
          <w:szCs w:val="22"/>
        </w:rPr>
        <w:t>blici e privati ed associazioni, r</w:t>
      </w:r>
      <w:r w:rsidR="00FE44B8" w:rsidRPr="00FE44B8">
        <w:rPr>
          <w:rStyle w:val="CharacterStyle1"/>
          <w:rFonts w:ascii="Arial" w:hAnsi="Arial" w:cs="Arial"/>
          <w:sz w:val="22"/>
          <w:szCs w:val="22"/>
        </w:rPr>
        <w:t>edige o assiste nella stesura dei bandi Enti pubblici e privati</w:t>
      </w:r>
      <w:r w:rsidR="00FE44B8">
        <w:rPr>
          <w:rStyle w:val="CharacterStyle1"/>
          <w:rFonts w:ascii="Arial" w:hAnsi="Arial" w:cs="Arial"/>
          <w:sz w:val="22"/>
          <w:szCs w:val="22"/>
        </w:rPr>
        <w:t xml:space="preserve"> , o</w:t>
      </w:r>
      <w:r w:rsidR="00FE44B8" w:rsidRPr="00FE44B8">
        <w:rPr>
          <w:rStyle w:val="CharacterStyle1"/>
          <w:rFonts w:ascii="Arial" w:hAnsi="Arial" w:cs="Arial"/>
          <w:sz w:val="22"/>
          <w:szCs w:val="22"/>
        </w:rPr>
        <w:t>rganizza per conto dell’Ordine Concorsi o Call on line</w:t>
      </w:r>
      <w:r w:rsidR="00FE44B8">
        <w:rPr>
          <w:rStyle w:val="CharacterStyle1"/>
          <w:rFonts w:ascii="Arial" w:hAnsi="Arial" w:cs="Arial"/>
          <w:sz w:val="22"/>
          <w:szCs w:val="22"/>
        </w:rPr>
        <w:t>.</w:t>
      </w:r>
    </w:p>
    <w:p w:rsidR="00D91C4A" w:rsidRDefault="00FE44B8" w:rsidP="00FE44B8">
      <w:pPr>
        <w:pStyle w:val="Style1"/>
        <w:tabs>
          <w:tab w:val="left" w:pos="9638"/>
        </w:tabs>
        <w:spacing w:line="360" w:lineRule="auto"/>
        <w:ind w:left="1440"/>
        <w:rPr>
          <w:rStyle w:val="CharacterStyle1"/>
          <w:rFonts w:ascii="Arial" w:hAnsi="Arial" w:cs="Arial"/>
          <w:sz w:val="22"/>
          <w:szCs w:val="22"/>
        </w:rPr>
      </w:pPr>
      <w:r w:rsidRPr="00FE44B8">
        <w:rPr>
          <w:rStyle w:val="CharacterStyle1"/>
          <w:rFonts w:ascii="Arial" w:hAnsi="Arial" w:cs="Arial"/>
          <w:sz w:val="22"/>
          <w:szCs w:val="22"/>
        </w:rPr>
        <w:t>Analizza e valuta i bandi di concorso al fine di dare agli iscritti una valutazione oggettiva sulla loro organizzazione alla luce dei principi di rati</w:t>
      </w:r>
      <w:r>
        <w:rPr>
          <w:rStyle w:val="CharacterStyle1"/>
          <w:rFonts w:ascii="Arial" w:hAnsi="Arial" w:cs="Arial"/>
          <w:sz w:val="22"/>
          <w:szCs w:val="22"/>
        </w:rPr>
        <w:t xml:space="preserve">ng che il Consiglio ha definito. </w:t>
      </w:r>
    </w:p>
    <w:p w:rsidR="00D91C4A" w:rsidRPr="007D12DB" w:rsidRDefault="00D91C4A" w:rsidP="007D12DB">
      <w:pPr>
        <w:pStyle w:val="Style1"/>
        <w:numPr>
          <w:ilvl w:val="1"/>
          <w:numId w:val="9"/>
        </w:numPr>
        <w:tabs>
          <w:tab w:val="left" w:pos="9638"/>
        </w:tabs>
        <w:spacing w:line="360" w:lineRule="auto"/>
        <w:rPr>
          <w:rStyle w:val="CharacterStyle1"/>
          <w:rFonts w:ascii="Arial" w:hAnsi="Arial" w:cs="Arial"/>
          <w:sz w:val="22"/>
          <w:szCs w:val="22"/>
        </w:rPr>
      </w:pPr>
      <w:r w:rsidRPr="007D12DB">
        <w:rPr>
          <w:rStyle w:val="CharacterStyle1"/>
          <w:rFonts w:ascii="Arial" w:hAnsi="Arial" w:cs="Arial"/>
          <w:b/>
          <w:sz w:val="22"/>
          <w:szCs w:val="22"/>
        </w:rPr>
        <w:t>La Commissione Parcelle</w:t>
      </w:r>
      <w:r>
        <w:rPr>
          <w:rStyle w:val="CharacterStyle1"/>
          <w:rFonts w:ascii="Arial" w:hAnsi="Arial" w:cs="Arial"/>
          <w:sz w:val="22"/>
          <w:szCs w:val="22"/>
        </w:rPr>
        <w:t xml:space="preserve"> </w:t>
      </w:r>
      <w:r w:rsidR="000A6922">
        <w:rPr>
          <w:rStyle w:val="CharacterStyle1"/>
          <w:rFonts w:ascii="Arial" w:hAnsi="Arial" w:cs="Arial"/>
          <w:sz w:val="22"/>
          <w:szCs w:val="22"/>
        </w:rPr>
        <w:t xml:space="preserve"> - </w:t>
      </w:r>
      <w:r w:rsidR="000A6922" w:rsidRPr="000A6922">
        <w:rPr>
          <w:rStyle w:val="CharacterStyle1"/>
          <w:rFonts w:ascii="Arial" w:hAnsi="Arial" w:cs="Arial"/>
          <w:sz w:val="22"/>
          <w:szCs w:val="22"/>
        </w:rPr>
        <w:t xml:space="preserve">L’Ordine degli Architetti ha l’obbligo di istituire una Commissione Parcelle, deputata ad emettere pareri di conformità ed opinamenti che possono esserle richiesti sia da singoli professionisti, privati che da enti terzi. </w:t>
      </w:r>
      <w:r w:rsidR="000A6922">
        <w:rPr>
          <w:rStyle w:val="CharacterStyle1"/>
          <w:rFonts w:ascii="Arial" w:hAnsi="Arial" w:cs="Arial"/>
          <w:sz w:val="22"/>
          <w:szCs w:val="22"/>
        </w:rPr>
        <w:t>I componenti la Commissione</w:t>
      </w:r>
      <w:r w:rsidR="000A6922" w:rsidRPr="000A6922">
        <w:rPr>
          <w:rStyle w:val="CharacterStyle1"/>
          <w:rFonts w:ascii="Arial" w:hAnsi="Arial" w:cs="Arial"/>
          <w:sz w:val="22"/>
          <w:szCs w:val="22"/>
        </w:rPr>
        <w:t xml:space="preserve"> per la loro consulenza percepiscono un gettone di presenza pari</w:t>
      </w:r>
      <w:r w:rsidR="000A6922">
        <w:rPr>
          <w:rStyle w:val="CharacterStyle1"/>
          <w:rFonts w:ascii="Arial" w:hAnsi="Arial" w:cs="Arial"/>
          <w:sz w:val="22"/>
          <w:szCs w:val="22"/>
        </w:rPr>
        <w:t xml:space="preserve"> a €. 30 più Iva e oneri di leg</w:t>
      </w:r>
      <w:r w:rsidR="000A6922" w:rsidRPr="000A6922">
        <w:rPr>
          <w:rStyle w:val="CharacterStyle1"/>
          <w:rFonts w:ascii="Arial" w:hAnsi="Arial" w:cs="Arial"/>
          <w:sz w:val="22"/>
          <w:szCs w:val="22"/>
        </w:rPr>
        <w:t>ge</w:t>
      </w:r>
      <w:r w:rsidR="000A6922">
        <w:rPr>
          <w:rStyle w:val="CharacterStyle1"/>
          <w:rFonts w:ascii="Arial" w:hAnsi="Arial" w:cs="Arial"/>
          <w:sz w:val="22"/>
          <w:szCs w:val="22"/>
        </w:rPr>
        <w:t>, svolgendo</w:t>
      </w:r>
      <w:r w:rsidR="000A6922" w:rsidRPr="000A6922">
        <w:rPr>
          <w:rStyle w:val="CharacterStyle1"/>
          <w:rFonts w:ascii="Arial" w:hAnsi="Arial" w:cs="Arial"/>
          <w:sz w:val="22"/>
          <w:szCs w:val="22"/>
        </w:rPr>
        <w:t xml:space="preserve"> un’importante mole di lavoro </w:t>
      </w:r>
      <w:r w:rsidR="00AD2815">
        <w:rPr>
          <w:rStyle w:val="CharacterStyle1"/>
          <w:rFonts w:ascii="Arial" w:hAnsi="Arial" w:cs="Arial"/>
          <w:sz w:val="22"/>
          <w:szCs w:val="22"/>
        </w:rPr>
        <w:t xml:space="preserve">i cui </w:t>
      </w:r>
      <w:r w:rsidR="00AD2815" w:rsidRPr="00AD2815">
        <w:rPr>
          <w:rStyle w:val="CharacterStyle1"/>
          <w:rFonts w:ascii="Arial" w:hAnsi="Arial" w:cs="Arial"/>
          <w:sz w:val="22"/>
          <w:szCs w:val="22"/>
        </w:rPr>
        <w:t>proventi sono stati una fonte di autofinanziamento delle attività dell’Ordine</w:t>
      </w:r>
      <w:r w:rsidR="00AD2815">
        <w:rPr>
          <w:rStyle w:val="CharacterStyle1"/>
          <w:rFonts w:ascii="Arial" w:hAnsi="Arial" w:cs="Arial"/>
          <w:sz w:val="22"/>
          <w:szCs w:val="22"/>
        </w:rPr>
        <w:t xml:space="preserve"> (percentuale variabile da 1, 5 a 2,25). Anche nel 2013</w:t>
      </w:r>
      <w:r w:rsidR="007D12DB">
        <w:rPr>
          <w:rStyle w:val="CharacterStyle1"/>
          <w:rFonts w:ascii="Arial" w:hAnsi="Arial" w:cs="Arial"/>
          <w:sz w:val="22"/>
          <w:szCs w:val="22"/>
        </w:rPr>
        <w:t xml:space="preserve"> le somme provenienti da Opinamenti hanno portato più di 12mila euro nelle casse dell’ordine con uno scostamento – rispetto a quanto preventivato di 4</w:t>
      </w:r>
      <w:r w:rsidR="00094062">
        <w:rPr>
          <w:rStyle w:val="CharacterStyle1"/>
          <w:rFonts w:ascii="Arial" w:hAnsi="Arial" w:cs="Arial"/>
          <w:sz w:val="22"/>
          <w:szCs w:val="22"/>
        </w:rPr>
        <w:t>.</w:t>
      </w:r>
      <w:r w:rsidR="007D12DB">
        <w:rPr>
          <w:rStyle w:val="CharacterStyle1"/>
          <w:rFonts w:ascii="Arial" w:hAnsi="Arial" w:cs="Arial"/>
          <w:sz w:val="22"/>
          <w:szCs w:val="22"/>
        </w:rPr>
        <w:t xml:space="preserve">934 Euro. </w:t>
      </w:r>
    </w:p>
    <w:p w:rsidR="00D91C4A" w:rsidRDefault="00D91C4A" w:rsidP="00094062">
      <w:pPr>
        <w:pStyle w:val="Style1"/>
        <w:numPr>
          <w:ilvl w:val="1"/>
          <w:numId w:val="9"/>
        </w:numPr>
        <w:tabs>
          <w:tab w:val="left" w:pos="9638"/>
        </w:tabs>
        <w:spacing w:line="360" w:lineRule="auto"/>
        <w:rPr>
          <w:rStyle w:val="CharacterStyle1"/>
          <w:rFonts w:ascii="Arial" w:hAnsi="Arial" w:cs="Arial"/>
          <w:sz w:val="22"/>
          <w:szCs w:val="22"/>
        </w:rPr>
      </w:pPr>
      <w:r w:rsidRPr="00094062">
        <w:rPr>
          <w:rStyle w:val="CharacterStyle1"/>
          <w:rFonts w:ascii="Arial" w:hAnsi="Arial" w:cs="Arial"/>
          <w:b/>
          <w:sz w:val="22"/>
          <w:szCs w:val="22"/>
        </w:rPr>
        <w:t>Commissione Formazione</w:t>
      </w:r>
      <w:r w:rsidR="00094062">
        <w:rPr>
          <w:rStyle w:val="CharacterStyle1"/>
          <w:rFonts w:ascii="Arial" w:hAnsi="Arial" w:cs="Arial"/>
          <w:sz w:val="22"/>
          <w:szCs w:val="22"/>
        </w:rPr>
        <w:t xml:space="preserve"> - l</w:t>
      </w:r>
      <w:r w:rsidR="00094062" w:rsidRPr="00094062">
        <w:rPr>
          <w:rStyle w:val="CharacterStyle1"/>
          <w:rFonts w:ascii="Arial" w:hAnsi="Arial" w:cs="Arial"/>
          <w:sz w:val="22"/>
          <w:szCs w:val="22"/>
        </w:rPr>
        <w:t xml:space="preserve">’Ordine da diversi anni organizza corsi di aggiornamento </w:t>
      </w:r>
      <w:r w:rsidR="00094062">
        <w:rPr>
          <w:rStyle w:val="CharacterStyle1"/>
          <w:rFonts w:ascii="Arial" w:hAnsi="Arial" w:cs="Arial"/>
          <w:sz w:val="22"/>
          <w:szCs w:val="22"/>
        </w:rPr>
        <w:t>su</w:t>
      </w:r>
      <w:r w:rsidR="00094062" w:rsidRPr="00094062">
        <w:rPr>
          <w:rStyle w:val="CharacterStyle1"/>
          <w:rFonts w:ascii="Arial" w:hAnsi="Arial" w:cs="Arial"/>
          <w:sz w:val="22"/>
          <w:szCs w:val="22"/>
        </w:rPr>
        <w:t xml:space="preserve"> specifiche tematich</w:t>
      </w:r>
      <w:r w:rsidR="00094062">
        <w:rPr>
          <w:rStyle w:val="CharacterStyle1"/>
          <w:rFonts w:ascii="Arial" w:hAnsi="Arial" w:cs="Arial"/>
          <w:sz w:val="22"/>
          <w:szCs w:val="22"/>
        </w:rPr>
        <w:t xml:space="preserve">e inerenti la professione, ospitando anche </w:t>
      </w:r>
      <w:r w:rsidR="00094062" w:rsidRPr="00094062">
        <w:rPr>
          <w:rStyle w:val="CharacterStyle1"/>
          <w:rFonts w:ascii="Arial" w:hAnsi="Arial" w:cs="Arial"/>
          <w:sz w:val="22"/>
          <w:szCs w:val="22"/>
        </w:rPr>
        <w:t>attività formative organizzate da Enti Terzi</w:t>
      </w:r>
      <w:r w:rsidR="00312219">
        <w:rPr>
          <w:rStyle w:val="CharacterStyle1"/>
          <w:rFonts w:ascii="Arial" w:hAnsi="Arial" w:cs="Arial"/>
          <w:sz w:val="22"/>
          <w:szCs w:val="22"/>
        </w:rPr>
        <w:t>,</w:t>
      </w:r>
      <w:r w:rsidR="00094062" w:rsidRPr="00094062">
        <w:rPr>
          <w:rStyle w:val="CharacterStyle1"/>
          <w:rFonts w:ascii="Arial" w:hAnsi="Arial" w:cs="Arial"/>
          <w:sz w:val="22"/>
          <w:szCs w:val="22"/>
        </w:rPr>
        <w:t xml:space="preserve"> permettendo in questo modo di  ridurre  i costi di partecipazione e controllare la qualità degli insegnamenti. </w:t>
      </w:r>
      <w:r>
        <w:rPr>
          <w:rStyle w:val="CharacterStyle1"/>
          <w:rFonts w:ascii="Arial" w:hAnsi="Arial" w:cs="Arial"/>
          <w:sz w:val="22"/>
          <w:szCs w:val="22"/>
        </w:rPr>
        <w:t xml:space="preserve"> </w:t>
      </w:r>
      <w:r w:rsidR="00094062" w:rsidRPr="00094062">
        <w:rPr>
          <w:rStyle w:val="CharacterStyle1"/>
          <w:rFonts w:ascii="Arial" w:hAnsi="Arial" w:cs="Arial"/>
          <w:sz w:val="22"/>
          <w:szCs w:val="22"/>
        </w:rPr>
        <w:t>Con l’entrata in vigore dal 1° gennaio 2014 dell’obbligo di aggiornamento e sviluppo professionale continuo</w:t>
      </w:r>
      <w:r w:rsidR="00094062">
        <w:rPr>
          <w:rStyle w:val="CharacterStyle1"/>
          <w:rFonts w:ascii="Arial" w:hAnsi="Arial" w:cs="Arial"/>
          <w:sz w:val="22"/>
          <w:szCs w:val="22"/>
        </w:rPr>
        <w:t xml:space="preserve"> (art. 7 del D.P.R. 137/2012) il nuovo Consiglio dell’</w:t>
      </w:r>
      <w:r w:rsidR="00094062" w:rsidRPr="00094062">
        <w:rPr>
          <w:rStyle w:val="CharacterStyle1"/>
          <w:rFonts w:ascii="Arial" w:hAnsi="Arial" w:cs="Arial"/>
          <w:sz w:val="22"/>
          <w:szCs w:val="22"/>
        </w:rPr>
        <w:t>Ordine</w:t>
      </w:r>
      <w:r w:rsidR="00094062">
        <w:rPr>
          <w:rStyle w:val="CharacterStyle1"/>
          <w:rFonts w:ascii="Arial" w:hAnsi="Arial" w:cs="Arial"/>
          <w:sz w:val="22"/>
          <w:szCs w:val="22"/>
        </w:rPr>
        <w:t xml:space="preserve"> ha istituito un’apposita commissione</w:t>
      </w:r>
      <w:r w:rsidR="00094062" w:rsidRPr="00094062">
        <w:rPr>
          <w:rStyle w:val="CharacterStyle1"/>
          <w:rFonts w:ascii="Arial" w:hAnsi="Arial" w:cs="Arial"/>
          <w:sz w:val="22"/>
          <w:szCs w:val="22"/>
        </w:rPr>
        <w:t xml:space="preserve"> </w:t>
      </w:r>
      <w:r w:rsidR="00D66581">
        <w:rPr>
          <w:rStyle w:val="CharacterStyle1"/>
          <w:rFonts w:ascii="Arial" w:hAnsi="Arial" w:cs="Arial"/>
          <w:sz w:val="22"/>
          <w:szCs w:val="22"/>
        </w:rPr>
        <w:t xml:space="preserve">per riuscire ad </w:t>
      </w:r>
      <w:r w:rsidR="00094062" w:rsidRPr="00094062">
        <w:rPr>
          <w:rStyle w:val="CharacterStyle1"/>
          <w:rFonts w:ascii="Arial" w:hAnsi="Arial" w:cs="Arial"/>
          <w:sz w:val="22"/>
          <w:szCs w:val="22"/>
        </w:rPr>
        <w:t xml:space="preserve">organizzare ed ospitare corsi </w:t>
      </w:r>
      <w:r w:rsidR="00D66581">
        <w:rPr>
          <w:rStyle w:val="CharacterStyle1"/>
          <w:rFonts w:ascii="Arial" w:hAnsi="Arial" w:cs="Arial"/>
          <w:sz w:val="22"/>
          <w:szCs w:val="22"/>
        </w:rPr>
        <w:t>organizzati anche direttamente, permettendo così agli iscritti</w:t>
      </w:r>
      <w:r w:rsidR="00094062" w:rsidRPr="00094062">
        <w:rPr>
          <w:rStyle w:val="CharacterStyle1"/>
          <w:rFonts w:ascii="Arial" w:hAnsi="Arial" w:cs="Arial"/>
          <w:sz w:val="22"/>
          <w:szCs w:val="22"/>
        </w:rPr>
        <w:t xml:space="preserve"> di adempiere all’obbligo istituzionale di  crediti</w:t>
      </w:r>
      <w:r w:rsidR="00D66581">
        <w:rPr>
          <w:rStyle w:val="CharacterStyle1"/>
          <w:rFonts w:ascii="Arial" w:hAnsi="Arial" w:cs="Arial"/>
          <w:sz w:val="22"/>
          <w:szCs w:val="22"/>
        </w:rPr>
        <w:t xml:space="preserve"> formativi  a prezzi calmierati. A dicembre 2013 la Commissione ha elaborato la prima versione del Piano di Offerta formativa per il 2014.</w:t>
      </w:r>
    </w:p>
    <w:p w:rsidR="00D91C4A" w:rsidRPr="006626FA" w:rsidRDefault="00D91C4A" w:rsidP="002840AE">
      <w:pPr>
        <w:pStyle w:val="Style1"/>
        <w:numPr>
          <w:ilvl w:val="1"/>
          <w:numId w:val="9"/>
        </w:numPr>
        <w:tabs>
          <w:tab w:val="left" w:pos="9638"/>
        </w:tabs>
        <w:spacing w:line="360" w:lineRule="auto"/>
        <w:rPr>
          <w:rStyle w:val="CharacterStyle1"/>
          <w:rFonts w:ascii="Arial" w:hAnsi="Arial" w:cs="Arial"/>
          <w:sz w:val="22"/>
          <w:szCs w:val="22"/>
        </w:rPr>
      </w:pPr>
      <w:r>
        <w:rPr>
          <w:rStyle w:val="CharacterStyle1"/>
          <w:rFonts w:ascii="Arial" w:hAnsi="Arial" w:cs="Arial"/>
          <w:sz w:val="22"/>
          <w:szCs w:val="22"/>
        </w:rPr>
        <w:t xml:space="preserve">Le </w:t>
      </w:r>
      <w:r w:rsidRPr="007D12DB">
        <w:rPr>
          <w:rStyle w:val="CharacterStyle1"/>
          <w:rFonts w:ascii="Arial" w:hAnsi="Arial" w:cs="Arial"/>
          <w:b/>
          <w:sz w:val="22"/>
          <w:szCs w:val="22"/>
        </w:rPr>
        <w:t>relazioni internazionali</w:t>
      </w:r>
      <w:r>
        <w:rPr>
          <w:rStyle w:val="CharacterStyle1"/>
          <w:rFonts w:ascii="Arial" w:hAnsi="Arial" w:cs="Arial"/>
          <w:sz w:val="22"/>
          <w:szCs w:val="22"/>
        </w:rPr>
        <w:t xml:space="preserve">, partite col nuovo </w:t>
      </w:r>
      <w:r w:rsidR="00452AA9">
        <w:rPr>
          <w:rStyle w:val="CharacterStyle1"/>
          <w:rFonts w:ascii="Arial" w:hAnsi="Arial" w:cs="Arial"/>
          <w:sz w:val="22"/>
          <w:szCs w:val="22"/>
        </w:rPr>
        <w:t xml:space="preserve">consiglio insediatosi il </w:t>
      </w:r>
      <w:r w:rsidR="000A6922">
        <w:rPr>
          <w:rStyle w:val="CharacterStyle1"/>
          <w:rFonts w:ascii="Arial" w:hAnsi="Arial" w:cs="Arial"/>
          <w:sz w:val="22"/>
          <w:szCs w:val="22"/>
        </w:rPr>
        <w:t xml:space="preserve">12 settembre </w:t>
      </w:r>
      <w:r w:rsidR="00452AA9">
        <w:rPr>
          <w:rStyle w:val="CharacterStyle1"/>
          <w:rFonts w:ascii="Arial" w:hAnsi="Arial" w:cs="Arial"/>
          <w:sz w:val="22"/>
          <w:szCs w:val="22"/>
        </w:rPr>
        <w:t>con l’intento di intessere relazioni con colleghi di altri paesi,</w:t>
      </w:r>
      <w:r>
        <w:rPr>
          <w:rStyle w:val="CharacterStyle1"/>
          <w:rFonts w:ascii="Arial" w:hAnsi="Arial" w:cs="Arial"/>
          <w:sz w:val="22"/>
          <w:szCs w:val="22"/>
        </w:rPr>
        <w:t xml:space="preserve"> ha portato </w:t>
      </w:r>
      <w:r w:rsidR="00045A62">
        <w:rPr>
          <w:rStyle w:val="CharacterStyle1"/>
          <w:rFonts w:ascii="Arial" w:hAnsi="Arial" w:cs="Arial"/>
          <w:sz w:val="22"/>
          <w:szCs w:val="22"/>
        </w:rPr>
        <w:t xml:space="preserve">ad un primo incontro tra i membri del consiglio dell’Ordine di Bologna, il </w:t>
      </w:r>
      <w:r w:rsidR="00F563B4">
        <w:rPr>
          <w:rStyle w:val="CharacterStyle1"/>
          <w:rFonts w:ascii="Arial" w:hAnsi="Arial" w:cs="Arial"/>
          <w:sz w:val="22"/>
          <w:szCs w:val="22"/>
        </w:rPr>
        <w:t>responsabile</w:t>
      </w:r>
      <w:r w:rsidR="00045A62">
        <w:rPr>
          <w:rStyle w:val="CharacterStyle1"/>
          <w:rFonts w:ascii="Arial" w:hAnsi="Arial" w:cs="Arial"/>
          <w:sz w:val="22"/>
          <w:szCs w:val="22"/>
        </w:rPr>
        <w:t xml:space="preserve"> delle relazioni </w:t>
      </w:r>
      <w:r w:rsidR="00452AA9">
        <w:rPr>
          <w:rStyle w:val="CharacterStyle1"/>
          <w:rFonts w:ascii="Arial" w:hAnsi="Arial" w:cs="Arial"/>
          <w:sz w:val="22"/>
          <w:szCs w:val="22"/>
        </w:rPr>
        <w:t>internazionali</w:t>
      </w:r>
      <w:r w:rsidR="00045A62">
        <w:rPr>
          <w:rStyle w:val="CharacterStyle1"/>
          <w:rFonts w:ascii="Arial" w:hAnsi="Arial" w:cs="Arial"/>
          <w:sz w:val="22"/>
          <w:szCs w:val="22"/>
        </w:rPr>
        <w:t xml:space="preserve"> del CNAPPC e i rappresentanti del Unione degli Architetti </w:t>
      </w:r>
      <w:r w:rsidR="00452AA9">
        <w:rPr>
          <w:rStyle w:val="CharacterStyle1"/>
          <w:rFonts w:ascii="Arial" w:hAnsi="Arial" w:cs="Arial"/>
          <w:sz w:val="22"/>
          <w:szCs w:val="22"/>
        </w:rPr>
        <w:t xml:space="preserve">di </w:t>
      </w:r>
      <w:r w:rsidR="00045A62">
        <w:rPr>
          <w:rStyle w:val="CharacterStyle1"/>
          <w:rFonts w:ascii="Arial" w:hAnsi="Arial" w:cs="Arial"/>
          <w:sz w:val="22"/>
          <w:szCs w:val="22"/>
        </w:rPr>
        <w:t>Russi</w:t>
      </w:r>
      <w:r w:rsidR="00452AA9">
        <w:rPr>
          <w:rStyle w:val="CharacterStyle1"/>
          <w:rFonts w:ascii="Arial" w:hAnsi="Arial" w:cs="Arial"/>
          <w:sz w:val="22"/>
          <w:szCs w:val="22"/>
        </w:rPr>
        <w:t>a</w:t>
      </w:r>
      <w:r w:rsidR="00045A62">
        <w:rPr>
          <w:rStyle w:val="CharacterStyle1"/>
          <w:rFonts w:ascii="Arial" w:hAnsi="Arial" w:cs="Arial"/>
          <w:sz w:val="22"/>
          <w:szCs w:val="22"/>
        </w:rPr>
        <w:t xml:space="preserve">. Durante il mese di ottobre il vicepresidente </w:t>
      </w:r>
      <w:proofErr w:type="spellStart"/>
      <w:r w:rsidR="00045A62">
        <w:rPr>
          <w:rStyle w:val="CharacterStyle1"/>
          <w:rFonts w:ascii="Arial" w:hAnsi="Arial" w:cs="Arial"/>
          <w:sz w:val="22"/>
          <w:szCs w:val="22"/>
        </w:rPr>
        <w:t>Lovginov</w:t>
      </w:r>
      <w:proofErr w:type="spellEnd"/>
      <w:r w:rsidR="00045A62">
        <w:rPr>
          <w:rStyle w:val="CharacterStyle1"/>
          <w:rFonts w:ascii="Arial" w:hAnsi="Arial" w:cs="Arial"/>
          <w:sz w:val="22"/>
          <w:szCs w:val="22"/>
        </w:rPr>
        <w:t xml:space="preserve">, il responsabile delle </w:t>
      </w:r>
      <w:r w:rsidR="00045A62">
        <w:rPr>
          <w:rStyle w:val="CharacterStyle1"/>
          <w:rFonts w:ascii="Arial" w:hAnsi="Arial" w:cs="Arial"/>
          <w:sz w:val="22"/>
          <w:szCs w:val="22"/>
        </w:rPr>
        <w:lastRenderedPageBreak/>
        <w:t xml:space="preserve">Relazioni </w:t>
      </w:r>
      <w:r w:rsidR="00452AA9">
        <w:rPr>
          <w:rStyle w:val="CharacterStyle1"/>
          <w:rFonts w:ascii="Arial" w:hAnsi="Arial" w:cs="Arial"/>
          <w:sz w:val="22"/>
          <w:szCs w:val="22"/>
        </w:rPr>
        <w:t>Internazionali</w:t>
      </w:r>
      <w:r w:rsidR="00045A62">
        <w:rPr>
          <w:rStyle w:val="CharacterStyle1"/>
          <w:rFonts w:ascii="Arial" w:hAnsi="Arial" w:cs="Arial"/>
          <w:sz w:val="22"/>
          <w:szCs w:val="22"/>
        </w:rPr>
        <w:t xml:space="preserve"> Alla </w:t>
      </w:r>
      <w:proofErr w:type="spellStart"/>
      <w:r w:rsidR="00045A62">
        <w:rPr>
          <w:rStyle w:val="CharacterStyle1"/>
          <w:rFonts w:ascii="Arial" w:hAnsi="Arial" w:cs="Arial"/>
          <w:sz w:val="22"/>
          <w:szCs w:val="22"/>
        </w:rPr>
        <w:t>Artis</w:t>
      </w:r>
      <w:proofErr w:type="spellEnd"/>
      <w:r w:rsidR="00045A62">
        <w:rPr>
          <w:rStyle w:val="CharacterStyle1"/>
          <w:rFonts w:ascii="Arial" w:hAnsi="Arial" w:cs="Arial"/>
          <w:sz w:val="22"/>
          <w:szCs w:val="22"/>
        </w:rPr>
        <w:t xml:space="preserve">, il presidente dell’Ordine di Mosca </w:t>
      </w:r>
      <w:proofErr w:type="spellStart"/>
      <w:r w:rsidR="002840AE" w:rsidRPr="002840AE">
        <w:rPr>
          <w:rStyle w:val="CharacterStyle1"/>
          <w:rFonts w:ascii="Arial" w:hAnsi="Arial" w:cs="Arial"/>
          <w:sz w:val="22"/>
          <w:szCs w:val="22"/>
        </w:rPr>
        <w:t>Shumakov</w:t>
      </w:r>
      <w:proofErr w:type="spellEnd"/>
      <w:r w:rsidR="00045A62">
        <w:rPr>
          <w:rStyle w:val="CharacterStyle1"/>
          <w:rFonts w:ascii="Arial" w:hAnsi="Arial" w:cs="Arial"/>
          <w:sz w:val="22"/>
          <w:szCs w:val="22"/>
        </w:rPr>
        <w:t xml:space="preserve">, hanno avuti due incontri con i nostri </w:t>
      </w:r>
      <w:r w:rsidR="00452AA9">
        <w:rPr>
          <w:rStyle w:val="CharacterStyle1"/>
          <w:rFonts w:ascii="Arial" w:hAnsi="Arial" w:cs="Arial"/>
          <w:sz w:val="22"/>
          <w:szCs w:val="22"/>
        </w:rPr>
        <w:t>rappresentanti</w:t>
      </w:r>
      <w:r w:rsidR="00045A62">
        <w:rPr>
          <w:rStyle w:val="CharacterStyle1"/>
          <w:rFonts w:ascii="Arial" w:hAnsi="Arial" w:cs="Arial"/>
          <w:sz w:val="22"/>
          <w:szCs w:val="22"/>
        </w:rPr>
        <w:t xml:space="preserve"> e hanno visitato alcuni nostri colleghi durant</w:t>
      </w:r>
      <w:r w:rsidR="00F563B4">
        <w:rPr>
          <w:rStyle w:val="CharacterStyle1"/>
          <w:rFonts w:ascii="Arial" w:hAnsi="Arial" w:cs="Arial"/>
          <w:sz w:val="22"/>
          <w:szCs w:val="22"/>
        </w:rPr>
        <w:t>e la serata degli Studi Aperti, organizzata in collaborazione con Saie in ottobre 2013</w:t>
      </w:r>
      <w:r w:rsidR="00045A62">
        <w:rPr>
          <w:rStyle w:val="CharacterStyle1"/>
          <w:rFonts w:ascii="Arial" w:hAnsi="Arial" w:cs="Arial"/>
          <w:sz w:val="22"/>
          <w:szCs w:val="22"/>
        </w:rPr>
        <w:t xml:space="preserve">. A seguito di </w:t>
      </w:r>
      <w:r w:rsidR="00452AA9">
        <w:rPr>
          <w:rStyle w:val="CharacterStyle1"/>
          <w:rFonts w:ascii="Arial" w:hAnsi="Arial" w:cs="Arial"/>
          <w:sz w:val="22"/>
          <w:szCs w:val="22"/>
        </w:rPr>
        <w:t>questi incontri organizzati dall’Ordine di Bologna sarà siglato</w:t>
      </w:r>
      <w:r w:rsidR="00045A62">
        <w:rPr>
          <w:rStyle w:val="CharacterStyle1"/>
          <w:rFonts w:ascii="Arial" w:hAnsi="Arial" w:cs="Arial"/>
          <w:sz w:val="22"/>
          <w:szCs w:val="22"/>
        </w:rPr>
        <w:t xml:space="preserve"> un accordo di collaborazione</w:t>
      </w:r>
      <w:r w:rsidR="00452AA9">
        <w:rPr>
          <w:rStyle w:val="CharacterStyle1"/>
          <w:rFonts w:ascii="Arial" w:hAnsi="Arial" w:cs="Arial"/>
          <w:sz w:val="22"/>
          <w:szCs w:val="22"/>
        </w:rPr>
        <w:t xml:space="preserve"> </w:t>
      </w:r>
      <w:r w:rsidR="00045A62">
        <w:rPr>
          <w:rStyle w:val="CharacterStyle1"/>
          <w:rFonts w:ascii="Arial" w:hAnsi="Arial" w:cs="Arial"/>
          <w:sz w:val="22"/>
          <w:szCs w:val="22"/>
        </w:rPr>
        <w:t xml:space="preserve"> </w:t>
      </w:r>
      <w:r w:rsidR="00452AA9">
        <w:rPr>
          <w:rStyle w:val="CharacterStyle1"/>
          <w:rFonts w:ascii="Arial" w:hAnsi="Arial" w:cs="Arial"/>
          <w:sz w:val="22"/>
          <w:szCs w:val="22"/>
        </w:rPr>
        <w:t xml:space="preserve">tra i due Consigli nazionali. Oltre a ciò gli architetti russi, colpiti dalle architetture elaborate dai nostri iscritti e premiate dall’IBC, hanno chiesto i materiali per presentare tali opere nel </w:t>
      </w:r>
      <w:r w:rsidR="002840AE" w:rsidRPr="002840AE">
        <w:rPr>
          <w:rStyle w:val="CharacterStyle1"/>
          <w:rFonts w:ascii="Arial" w:hAnsi="Arial" w:cs="Arial"/>
          <w:sz w:val="22"/>
          <w:szCs w:val="22"/>
        </w:rPr>
        <w:t xml:space="preserve">XXI International </w:t>
      </w:r>
      <w:proofErr w:type="spellStart"/>
      <w:r w:rsidR="002840AE" w:rsidRPr="002840AE">
        <w:rPr>
          <w:rStyle w:val="CharacterStyle1"/>
          <w:rFonts w:ascii="Arial" w:hAnsi="Arial" w:cs="Arial"/>
          <w:sz w:val="22"/>
          <w:szCs w:val="22"/>
        </w:rPr>
        <w:t>Architectural</w:t>
      </w:r>
      <w:proofErr w:type="spellEnd"/>
      <w:r w:rsidR="002840AE" w:rsidRPr="002840AE">
        <w:rPr>
          <w:rStyle w:val="CharacterStyle1"/>
          <w:rFonts w:ascii="Arial" w:hAnsi="Arial" w:cs="Arial"/>
          <w:sz w:val="22"/>
          <w:szCs w:val="22"/>
        </w:rPr>
        <w:t xml:space="preserve"> Festival “Zodchestvo-2013” </w:t>
      </w:r>
      <w:r w:rsidR="00452AA9">
        <w:rPr>
          <w:rStyle w:val="CharacterStyle1"/>
          <w:rFonts w:ascii="Arial" w:hAnsi="Arial" w:cs="Arial"/>
          <w:sz w:val="22"/>
          <w:szCs w:val="22"/>
        </w:rPr>
        <w:t>che si è tenuto in dicembre 2013</w:t>
      </w:r>
      <w:r w:rsidR="002840AE">
        <w:rPr>
          <w:rStyle w:val="CharacterStyle1"/>
          <w:rFonts w:ascii="Arial" w:hAnsi="Arial" w:cs="Arial"/>
          <w:sz w:val="22"/>
          <w:szCs w:val="22"/>
        </w:rPr>
        <w:t xml:space="preserve"> a Mosca</w:t>
      </w:r>
      <w:r w:rsidR="00452AA9">
        <w:rPr>
          <w:rStyle w:val="CharacterStyle1"/>
          <w:rFonts w:ascii="Arial" w:hAnsi="Arial" w:cs="Arial"/>
          <w:sz w:val="22"/>
          <w:szCs w:val="22"/>
        </w:rPr>
        <w:t>.</w:t>
      </w:r>
      <w:r w:rsidR="00F563B4">
        <w:rPr>
          <w:rStyle w:val="CharacterStyle1"/>
          <w:rFonts w:ascii="Arial" w:hAnsi="Arial" w:cs="Arial"/>
          <w:sz w:val="22"/>
          <w:szCs w:val="22"/>
        </w:rPr>
        <w:t xml:space="preserve"> Notizie e immagini di tali iniziative si trovano sul sito dell’Ordine e sul sito di Saie.</w:t>
      </w:r>
    </w:p>
    <w:p w:rsidR="00192135" w:rsidRDefault="00192135" w:rsidP="007B5B50">
      <w:pPr>
        <w:pStyle w:val="Style1"/>
        <w:tabs>
          <w:tab w:val="left" w:pos="9638"/>
        </w:tabs>
        <w:spacing w:line="360" w:lineRule="auto"/>
        <w:rPr>
          <w:rStyle w:val="CharacterStyle1"/>
          <w:rFonts w:ascii="Arial" w:hAnsi="Arial" w:cs="Arial"/>
          <w:sz w:val="22"/>
          <w:szCs w:val="22"/>
        </w:rPr>
      </w:pPr>
      <w:r>
        <w:rPr>
          <w:rFonts w:ascii="Arial" w:hAnsi="Arial" w:cs="Arial"/>
          <w:color w:val="222222"/>
          <w:sz w:val="20"/>
          <w:szCs w:val="20"/>
        </w:rPr>
        <w:br/>
      </w:r>
    </w:p>
    <w:p w:rsidR="00192135" w:rsidRDefault="00192135" w:rsidP="007B5B50">
      <w:pPr>
        <w:pStyle w:val="Style1"/>
        <w:tabs>
          <w:tab w:val="left" w:pos="9638"/>
        </w:tabs>
        <w:spacing w:line="360" w:lineRule="auto"/>
        <w:rPr>
          <w:rStyle w:val="CharacterStyle1"/>
          <w:rFonts w:ascii="Arial" w:hAnsi="Arial" w:cs="Arial"/>
          <w:sz w:val="22"/>
          <w:szCs w:val="22"/>
        </w:rPr>
      </w:pPr>
    </w:p>
    <w:p w:rsidR="00E77CF3" w:rsidRDefault="00E77CF3" w:rsidP="001B4D59">
      <w:pPr>
        <w:pStyle w:val="Style2"/>
        <w:tabs>
          <w:tab w:val="left" w:pos="9638"/>
        </w:tabs>
        <w:adjustRightInd/>
        <w:spacing w:line="360" w:lineRule="auto"/>
        <w:jc w:val="both"/>
        <w:rPr>
          <w:rFonts w:ascii="Arial" w:hAnsi="Arial" w:cs="Arial"/>
          <w:sz w:val="22"/>
          <w:szCs w:val="22"/>
        </w:rPr>
      </w:pPr>
    </w:p>
    <w:p w:rsidR="001B4D59" w:rsidRPr="006012D4" w:rsidRDefault="001B4D59" w:rsidP="001B4D59">
      <w:pPr>
        <w:pStyle w:val="Style2"/>
        <w:tabs>
          <w:tab w:val="left" w:pos="9638"/>
        </w:tabs>
        <w:adjustRightInd/>
        <w:spacing w:line="360" w:lineRule="auto"/>
        <w:jc w:val="both"/>
        <w:rPr>
          <w:rFonts w:ascii="Arial" w:hAnsi="Arial" w:cs="Arial"/>
        </w:rPr>
      </w:pPr>
      <w:r w:rsidRPr="004639C2">
        <w:rPr>
          <w:rFonts w:ascii="Arial" w:hAnsi="Arial" w:cs="Arial"/>
          <w:sz w:val="22"/>
          <w:szCs w:val="22"/>
        </w:rPr>
        <w:t>Di seguito</w:t>
      </w:r>
      <w:r>
        <w:rPr>
          <w:rFonts w:ascii="Arial" w:hAnsi="Arial" w:cs="Arial"/>
          <w:sz w:val="22"/>
          <w:szCs w:val="22"/>
        </w:rPr>
        <w:t xml:space="preserve">, </w:t>
      </w:r>
      <w:r w:rsidRPr="006012D4">
        <w:rPr>
          <w:rFonts w:ascii="Arial" w:hAnsi="Arial" w:cs="Arial"/>
          <w:sz w:val="22"/>
          <w:szCs w:val="22"/>
        </w:rPr>
        <w:t>per maggior dettaglio</w:t>
      </w:r>
      <w:r>
        <w:rPr>
          <w:rFonts w:ascii="Arial" w:hAnsi="Arial" w:cs="Arial"/>
          <w:sz w:val="22"/>
          <w:szCs w:val="22"/>
        </w:rPr>
        <w:t>,</w:t>
      </w:r>
      <w:r w:rsidRPr="004639C2">
        <w:rPr>
          <w:rFonts w:ascii="Arial" w:hAnsi="Arial" w:cs="Arial"/>
          <w:sz w:val="22"/>
          <w:szCs w:val="22"/>
        </w:rPr>
        <w:t xml:space="preserve"> si riporta:</w:t>
      </w:r>
    </w:p>
    <w:p w:rsidR="001B4D59" w:rsidRDefault="001B4D59" w:rsidP="004639C2">
      <w:pPr>
        <w:pStyle w:val="Style2"/>
        <w:tabs>
          <w:tab w:val="left" w:pos="9638"/>
        </w:tabs>
        <w:adjustRightInd/>
        <w:spacing w:line="360" w:lineRule="auto"/>
        <w:jc w:val="both"/>
        <w:rPr>
          <w:rFonts w:ascii="Arial" w:hAnsi="Arial" w:cs="Arial"/>
          <w:sz w:val="22"/>
          <w:szCs w:val="22"/>
        </w:rPr>
      </w:pPr>
    </w:p>
    <w:p w:rsidR="001B4D59" w:rsidRDefault="001B4D59" w:rsidP="004639C2">
      <w:pPr>
        <w:pStyle w:val="Style2"/>
        <w:tabs>
          <w:tab w:val="left" w:pos="9638"/>
        </w:tabs>
        <w:adjustRightInd/>
        <w:spacing w:line="360" w:lineRule="auto"/>
        <w:jc w:val="both"/>
        <w:rPr>
          <w:rFonts w:ascii="Arial" w:hAnsi="Arial" w:cs="Arial"/>
          <w:sz w:val="22"/>
          <w:szCs w:val="22"/>
        </w:rPr>
      </w:pPr>
    </w:p>
    <w:p w:rsidR="001B4D59" w:rsidRDefault="001B4D59" w:rsidP="004639C2">
      <w:pPr>
        <w:pStyle w:val="Style2"/>
        <w:tabs>
          <w:tab w:val="left" w:pos="9638"/>
        </w:tabs>
        <w:adjustRightInd/>
        <w:spacing w:line="360" w:lineRule="auto"/>
        <w:jc w:val="both"/>
        <w:rPr>
          <w:rFonts w:ascii="Arial" w:hAnsi="Arial" w:cs="Arial"/>
          <w:b/>
          <w:bCs/>
          <w:sz w:val="22"/>
          <w:szCs w:val="22"/>
          <w:u w:val="single"/>
        </w:rPr>
      </w:pPr>
      <w:r>
        <w:rPr>
          <w:rFonts w:ascii="Arial" w:hAnsi="Arial" w:cs="Arial"/>
          <w:b/>
          <w:bCs/>
          <w:sz w:val="22"/>
          <w:szCs w:val="22"/>
          <w:u w:val="single"/>
        </w:rPr>
        <w:t>N</w:t>
      </w:r>
      <w:r w:rsidRPr="00924870">
        <w:rPr>
          <w:rFonts w:ascii="Arial" w:hAnsi="Arial" w:cs="Arial"/>
          <w:b/>
          <w:bCs/>
          <w:sz w:val="22"/>
          <w:szCs w:val="22"/>
          <w:u w:val="single"/>
        </w:rPr>
        <w:t>OTA</w:t>
      </w:r>
      <w:r>
        <w:rPr>
          <w:rFonts w:ascii="Arial" w:hAnsi="Arial" w:cs="Arial"/>
          <w:b/>
          <w:bCs/>
          <w:sz w:val="22"/>
          <w:szCs w:val="22"/>
          <w:u w:val="single"/>
        </w:rPr>
        <w:t xml:space="preserve"> </w:t>
      </w:r>
      <w:r w:rsidRPr="00924870">
        <w:rPr>
          <w:rFonts w:ascii="Arial" w:hAnsi="Arial" w:cs="Arial"/>
          <w:b/>
          <w:bCs/>
          <w:sz w:val="22"/>
          <w:szCs w:val="22"/>
          <w:u w:val="single"/>
        </w:rPr>
        <w:t xml:space="preserve"> INTEGRATIVA</w:t>
      </w:r>
      <w:r>
        <w:rPr>
          <w:rFonts w:ascii="Arial" w:hAnsi="Arial" w:cs="Arial"/>
          <w:b/>
          <w:bCs/>
          <w:sz w:val="22"/>
          <w:szCs w:val="22"/>
          <w:u w:val="single"/>
        </w:rPr>
        <w:t xml:space="preserve"> </w:t>
      </w:r>
      <w:r w:rsidRPr="00924870">
        <w:rPr>
          <w:rFonts w:ascii="Arial" w:hAnsi="Arial" w:cs="Arial"/>
          <w:b/>
          <w:bCs/>
          <w:sz w:val="22"/>
          <w:szCs w:val="22"/>
          <w:u w:val="single"/>
        </w:rPr>
        <w:t xml:space="preserve"> AL</w:t>
      </w:r>
      <w:r>
        <w:rPr>
          <w:rFonts w:ascii="Arial" w:hAnsi="Arial" w:cs="Arial"/>
          <w:b/>
          <w:bCs/>
          <w:sz w:val="22"/>
          <w:szCs w:val="22"/>
          <w:u w:val="single"/>
        </w:rPr>
        <w:t xml:space="preserve"> RENDICONTO </w:t>
      </w:r>
      <w:r w:rsidRPr="00924870">
        <w:rPr>
          <w:rFonts w:ascii="Arial" w:hAnsi="Arial" w:cs="Arial"/>
          <w:b/>
          <w:bCs/>
          <w:sz w:val="22"/>
          <w:szCs w:val="22"/>
          <w:u w:val="single"/>
        </w:rPr>
        <w:t xml:space="preserve"> </w:t>
      </w:r>
      <w:r>
        <w:rPr>
          <w:rFonts w:ascii="Arial" w:hAnsi="Arial" w:cs="Arial"/>
          <w:b/>
          <w:bCs/>
          <w:sz w:val="22"/>
          <w:szCs w:val="22"/>
          <w:u w:val="single"/>
        </w:rPr>
        <w:t>GENERALE CHIUSO AL 31/12/201</w:t>
      </w:r>
      <w:r w:rsidR="007A5C99">
        <w:rPr>
          <w:rFonts w:ascii="Arial" w:hAnsi="Arial" w:cs="Arial"/>
          <w:b/>
          <w:bCs/>
          <w:sz w:val="22"/>
          <w:szCs w:val="22"/>
          <w:u w:val="single"/>
        </w:rPr>
        <w:t>3</w:t>
      </w:r>
    </w:p>
    <w:p w:rsidR="007A5C99" w:rsidRDefault="007A5C99" w:rsidP="004639C2">
      <w:pPr>
        <w:pStyle w:val="Style2"/>
        <w:tabs>
          <w:tab w:val="left" w:pos="9638"/>
        </w:tabs>
        <w:adjustRightInd/>
        <w:spacing w:line="360" w:lineRule="auto"/>
        <w:jc w:val="both"/>
        <w:rPr>
          <w:rFonts w:ascii="Arial" w:hAnsi="Arial" w:cs="Arial"/>
          <w:b/>
          <w:bCs/>
          <w:sz w:val="22"/>
          <w:szCs w:val="22"/>
          <w:u w:val="single"/>
        </w:rPr>
      </w:pPr>
    </w:p>
    <w:p w:rsidR="00C85A44" w:rsidRDefault="00C85A44" w:rsidP="004639C2">
      <w:pPr>
        <w:pStyle w:val="Style2"/>
        <w:tabs>
          <w:tab w:val="left" w:pos="9638"/>
        </w:tabs>
        <w:adjustRightInd/>
        <w:spacing w:line="360" w:lineRule="auto"/>
        <w:jc w:val="both"/>
        <w:rPr>
          <w:rFonts w:ascii="Arial" w:hAnsi="Arial" w:cs="Arial"/>
          <w:sz w:val="22"/>
          <w:szCs w:val="22"/>
        </w:rPr>
      </w:pPr>
    </w:p>
    <w:sectPr w:rsidR="00C85A44" w:rsidSect="005E66DD">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509" w:rsidRDefault="003D2509" w:rsidP="00964590">
      <w:r>
        <w:separator/>
      </w:r>
    </w:p>
  </w:endnote>
  <w:endnote w:type="continuationSeparator" w:id="0">
    <w:p w:rsidR="003D2509" w:rsidRDefault="003D2509" w:rsidP="0096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00000007" w:usb1="00000000" w:usb2="00000000" w:usb3="00000000" w:csb0="00000093" w:csb1="00000000"/>
  </w:font>
  <w:font w:name="Helvetica">
    <w:panose1 w:val="020B060402020203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4B" w:rsidRDefault="00192135">
    <w:pPr>
      <w:pStyle w:val="Pidipagina"/>
      <w:jc w:val="right"/>
    </w:pPr>
    <w:r>
      <w:fldChar w:fldCharType="begin"/>
    </w:r>
    <w:r>
      <w:instrText xml:space="preserve"> PAGE   \* MERGEFORMAT </w:instrText>
    </w:r>
    <w:r>
      <w:fldChar w:fldCharType="separate"/>
    </w:r>
    <w:r w:rsidR="00DC0AEB">
      <w:rPr>
        <w:noProof/>
      </w:rPr>
      <w:t>4</w:t>
    </w:r>
    <w:r>
      <w:rPr>
        <w:noProof/>
      </w:rPr>
      <w:fldChar w:fldCharType="end"/>
    </w:r>
  </w:p>
  <w:p w:rsidR="00293C4B" w:rsidRDefault="00293C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509" w:rsidRDefault="003D2509" w:rsidP="00964590">
      <w:r>
        <w:separator/>
      </w:r>
    </w:p>
  </w:footnote>
  <w:footnote w:type="continuationSeparator" w:id="0">
    <w:p w:rsidR="003D2509" w:rsidRDefault="003D2509" w:rsidP="0096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4B" w:rsidRPr="00964590" w:rsidRDefault="00293C4B" w:rsidP="00964590">
    <w:pPr>
      <w:pStyle w:val="Intestazione"/>
      <w:rPr>
        <w:sz w:val="16"/>
        <w:szCs w:val="16"/>
      </w:rPr>
    </w:pPr>
    <w:r w:rsidRPr="00964590">
      <w:rPr>
        <w:sz w:val="16"/>
        <w:szCs w:val="16"/>
      </w:rPr>
      <w:t xml:space="preserve">ORDINE DEGLI ARCHITETTI </w:t>
    </w:r>
    <w:r>
      <w:rPr>
        <w:sz w:val="16"/>
        <w:szCs w:val="16"/>
      </w:rPr>
      <w:t xml:space="preserve"> </w:t>
    </w:r>
    <w:r w:rsidRPr="00964590">
      <w:rPr>
        <w:sz w:val="16"/>
        <w:szCs w:val="16"/>
      </w:rPr>
      <w:t xml:space="preserve">DI BOLOGNA – RENDICONTO GENERALE </w:t>
    </w:r>
    <w:r>
      <w:rPr>
        <w:sz w:val="16"/>
        <w:szCs w:val="16"/>
      </w:rPr>
      <w:t xml:space="preserve"> 201</w:t>
    </w:r>
    <w:r w:rsidR="007A5C99">
      <w:rPr>
        <w:sz w:val="16"/>
        <w:szCs w:val="16"/>
      </w:rPr>
      <w:t>3</w:t>
    </w:r>
    <w:r>
      <w:rPr>
        <w:sz w:val="16"/>
        <w:szCs w:val="16"/>
      </w:rPr>
      <w:t xml:space="preserve">         </w:t>
    </w:r>
    <w:r w:rsidRPr="00964590">
      <w:rPr>
        <w:sz w:val="16"/>
        <w:szCs w:val="16"/>
      </w:rPr>
      <w:t>–</w:t>
    </w:r>
    <w:r>
      <w:rPr>
        <w:sz w:val="16"/>
        <w:szCs w:val="16"/>
      </w:rPr>
      <w:t xml:space="preserve">         </w:t>
    </w:r>
    <w:r w:rsidRPr="00964590">
      <w:rPr>
        <w:sz w:val="16"/>
        <w:szCs w:val="16"/>
      </w:rPr>
      <w:t xml:space="preserve"> NOTA INTEGRATIVA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E5F"/>
    <w:multiLevelType w:val="hybridMultilevel"/>
    <w:tmpl w:val="59B61ADA"/>
    <w:lvl w:ilvl="0" w:tplc="DBB696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A8190E"/>
    <w:multiLevelType w:val="hybridMultilevel"/>
    <w:tmpl w:val="F7807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44673A"/>
    <w:multiLevelType w:val="hybridMultilevel"/>
    <w:tmpl w:val="9084865C"/>
    <w:lvl w:ilvl="0" w:tplc="7F102B10">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37B008F1"/>
    <w:multiLevelType w:val="hybridMultilevel"/>
    <w:tmpl w:val="459CCB3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8A26356"/>
    <w:multiLevelType w:val="hybridMultilevel"/>
    <w:tmpl w:val="FFCE3324"/>
    <w:lvl w:ilvl="0" w:tplc="24CC1F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581A6B"/>
    <w:multiLevelType w:val="hybridMultilevel"/>
    <w:tmpl w:val="6B60E3EE"/>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48743F04"/>
    <w:multiLevelType w:val="hybridMultilevel"/>
    <w:tmpl w:val="5D863310"/>
    <w:lvl w:ilvl="0" w:tplc="26969AA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641060"/>
    <w:multiLevelType w:val="hybridMultilevel"/>
    <w:tmpl w:val="AA7AB40A"/>
    <w:lvl w:ilvl="0" w:tplc="DBB696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B6254B5"/>
    <w:multiLevelType w:val="hybridMultilevel"/>
    <w:tmpl w:val="FDD68DC4"/>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9">
    <w:nsid w:val="6CC0556F"/>
    <w:multiLevelType w:val="hybridMultilevel"/>
    <w:tmpl w:val="B4383E2C"/>
    <w:lvl w:ilvl="0" w:tplc="00010410">
      <w:start w:val="1"/>
      <w:numFmt w:val="bullet"/>
      <w:lvlText w:val=""/>
      <w:lvlJc w:val="left"/>
      <w:pPr>
        <w:tabs>
          <w:tab w:val="num" w:pos="436"/>
        </w:tabs>
        <w:ind w:left="436" w:hanging="360"/>
      </w:pPr>
      <w:rPr>
        <w:rFonts w:ascii="Symbol" w:hAnsi="Symbol" w:hint="default"/>
      </w:rPr>
    </w:lvl>
    <w:lvl w:ilvl="1" w:tplc="00030410" w:tentative="1">
      <w:start w:val="1"/>
      <w:numFmt w:val="bullet"/>
      <w:lvlText w:val="o"/>
      <w:lvlJc w:val="left"/>
      <w:pPr>
        <w:tabs>
          <w:tab w:val="num" w:pos="1156"/>
        </w:tabs>
        <w:ind w:left="1156" w:hanging="360"/>
      </w:pPr>
      <w:rPr>
        <w:rFonts w:ascii="Courier New" w:hAnsi="Courier New" w:hint="default"/>
      </w:rPr>
    </w:lvl>
    <w:lvl w:ilvl="2" w:tplc="00050410" w:tentative="1">
      <w:start w:val="1"/>
      <w:numFmt w:val="bullet"/>
      <w:lvlText w:val=""/>
      <w:lvlJc w:val="left"/>
      <w:pPr>
        <w:tabs>
          <w:tab w:val="num" w:pos="1876"/>
        </w:tabs>
        <w:ind w:left="1876" w:hanging="360"/>
      </w:pPr>
      <w:rPr>
        <w:rFonts w:ascii="Wingdings" w:hAnsi="Wingdings" w:hint="default"/>
      </w:rPr>
    </w:lvl>
    <w:lvl w:ilvl="3" w:tplc="00010410" w:tentative="1">
      <w:start w:val="1"/>
      <w:numFmt w:val="bullet"/>
      <w:lvlText w:val=""/>
      <w:lvlJc w:val="left"/>
      <w:pPr>
        <w:tabs>
          <w:tab w:val="num" w:pos="2596"/>
        </w:tabs>
        <w:ind w:left="2596" w:hanging="360"/>
      </w:pPr>
      <w:rPr>
        <w:rFonts w:ascii="Symbol" w:hAnsi="Symbol" w:hint="default"/>
      </w:rPr>
    </w:lvl>
    <w:lvl w:ilvl="4" w:tplc="00030410" w:tentative="1">
      <w:start w:val="1"/>
      <w:numFmt w:val="bullet"/>
      <w:lvlText w:val="o"/>
      <w:lvlJc w:val="left"/>
      <w:pPr>
        <w:tabs>
          <w:tab w:val="num" w:pos="3316"/>
        </w:tabs>
        <w:ind w:left="3316" w:hanging="360"/>
      </w:pPr>
      <w:rPr>
        <w:rFonts w:ascii="Courier New" w:hAnsi="Courier New" w:hint="default"/>
      </w:rPr>
    </w:lvl>
    <w:lvl w:ilvl="5" w:tplc="00050410" w:tentative="1">
      <w:start w:val="1"/>
      <w:numFmt w:val="bullet"/>
      <w:lvlText w:val=""/>
      <w:lvlJc w:val="left"/>
      <w:pPr>
        <w:tabs>
          <w:tab w:val="num" w:pos="4036"/>
        </w:tabs>
        <w:ind w:left="4036" w:hanging="360"/>
      </w:pPr>
      <w:rPr>
        <w:rFonts w:ascii="Wingdings" w:hAnsi="Wingdings" w:hint="default"/>
      </w:rPr>
    </w:lvl>
    <w:lvl w:ilvl="6" w:tplc="00010410" w:tentative="1">
      <w:start w:val="1"/>
      <w:numFmt w:val="bullet"/>
      <w:lvlText w:val=""/>
      <w:lvlJc w:val="left"/>
      <w:pPr>
        <w:tabs>
          <w:tab w:val="num" w:pos="4756"/>
        </w:tabs>
        <w:ind w:left="4756" w:hanging="360"/>
      </w:pPr>
      <w:rPr>
        <w:rFonts w:ascii="Symbol" w:hAnsi="Symbol" w:hint="default"/>
      </w:rPr>
    </w:lvl>
    <w:lvl w:ilvl="7" w:tplc="00030410" w:tentative="1">
      <w:start w:val="1"/>
      <w:numFmt w:val="bullet"/>
      <w:lvlText w:val="o"/>
      <w:lvlJc w:val="left"/>
      <w:pPr>
        <w:tabs>
          <w:tab w:val="num" w:pos="5476"/>
        </w:tabs>
        <w:ind w:left="5476" w:hanging="360"/>
      </w:pPr>
      <w:rPr>
        <w:rFonts w:ascii="Courier New" w:hAnsi="Courier New" w:hint="default"/>
      </w:rPr>
    </w:lvl>
    <w:lvl w:ilvl="8" w:tplc="00050410" w:tentative="1">
      <w:start w:val="1"/>
      <w:numFmt w:val="bullet"/>
      <w:lvlText w:val=""/>
      <w:lvlJc w:val="left"/>
      <w:pPr>
        <w:tabs>
          <w:tab w:val="num" w:pos="6196"/>
        </w:tabs>
        <w:ind w:left="6196"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2"/>
  </w:num>
  <w:num w:numId="6">
    <w:abstractNumId w:val="0"/>
  </w:num>
  <w:num w:numId="7">
    <w:abstractNumId w:val="7"/>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6D"/>
    <w:rsid w:val="000210BB"/>
    <w:rsid w:val="00031804"/>
    <w:rsid w:val="00031FF9"/>
    <w:rsid w:val="0003263B"/>
    <w:rsid w:val="00032AB5"/>
    <w:rsid w:val="00033FD2"/>
    <w:rsid w:val="00037155"/>
    <w:rsid w:val="0004034E"/>
    <w:rsid w:val="000447E4"/>
    <w:rsid w:val="00045A62"/>
    <w:rsid w:val="00050EC8"/>
    <w:rsid w:val="000524F9"/>
    <w:rsid w:val="0006058A"/>
    <w:rsid w:val="000674D8"/>
    <w:rsid w:val="00067808"/>
    <w:rsid w:val="00074FC7"/>
    <w:rsid w:val="00094062"/>
    <w:rsid w:val="000A0549"/>
    <w:rsid w:val="000A1516"/>
    <w:rsid w:val="000A2F30"/>
    <w:rsid w:val="000A6922"/>
    <w:rsid w:val="000B59B2"/>
    <w:rsid w:val="000D2449"/>
    <w:rsid w:val="000D5E0A"/>
    <w:rsid w:val="001141E2"/>
    <w:rsid w:val="001363BB"/>
    <w:rsid w:val="00142BBB"/>
    <w:rsid w:val="00152A3E"/>
    <w:rsid w:val="001539A0"/>
    <w:rsid w:val="00156024"/>
    <w:rsid w:val="00161DF3"/>
    <w:rsid w:val="0016360A"/>
    <w:rsid w:val="00163D13"/>
    <w:rsid w:val="001718D5"/>
    <w:rsid w:val="00171BC5"/>
    <w:rsid w:val="00192135"/>
    <w:rsid w:val="00193340"/>
    <w:rsid w:val="00195899"/>
    <w:rsid w:val="001A24E7"/>
    <w:rsid w:val="001A3E4C"/>
    <w:rsid w:val="001B16BB"/>
    <w:rsid w:val="001B30DC"/>
    <w:rsid w:val="001B4D59"/>
    <w:rsid w:val="001C2C30"/>
    <w:rsid w:val="001E050B"/>
    <w:rsid w:val="001E0FE7"/>
    <w:rsid w:val="001E3360"/>
    <w:rsid w:val="001E70BC"/>
    <w:rsid w:val="001F2F2C"/>
    <w:rsid w:val="00212428"/>
    <w:rsid w:val="0022009C"/>
    <w:rsid w:val="00237598"/>
    <w:rsid w:val="00241708"/>
    <w:rsid w:val="00242AA9"/>
    <w:rsid w:val="0024480D"/>
    <w:rsid w:val="002542DC"/>
    <w:rsid w:val="00264F07"/>
    <w:rsid w:val="002819BC"/>
    <w:rsid w:val="002840AE"/>
    <w:rsid w:val="00287CD1"/>
    <w:rsid w:val="002933FC"/>
    <w:rsid w:val="00293C4B"/>
    <w:rsid w:val="002947C4"/>
    <w:rsid w:val="0029608B"/>
    <w:rsid w:val="002A45C5"/>
    <w:rsid w:val="002B366D"/>
    <w:rsid w:val="002B5BE6"/>
    <w:rsid w:val="002C2370"/>
    <w:rsid w:val="002E0682"/>
    <w:rsid w:val="002E6061"/>
    <w:rsid w:val="002E607D"/>
    <w:rsid w:val="002E77B0"/>
    <w:rsid w:val="002F0CC2"/>
    <w:rsid w:val="002F1C8A"/>
    <w:rsid w:val="002F3694"/>
    <w:rsid w:val="00301918"/>
    <w:rsid w:val="00302B2E"/>
    <w:rsid w:val="003050ED"/>
    <w:rsid w:val="0030703B"/>
    <w:rsid w:val="0031079E"/>
    <w:rsid w:val="00312219"/>
    <w:rsid w:val="003417DC"/>
    <w:rsid w:val="003478DF"/>
    <w:rsid w:val="0035497B"/>
    <w:rsid w:val="003660E2"/>
    <w:rsid w:val="00382A83"/>
    <w:rsid w:val="003868B1"/>
    <w:rsid w:val="003870EE"/>
    <w:rsid w:val="003A2B4B"/>
    <w:rsid w:val="003B486E"/>
    <w:rsid w:val="003C5CD0"/>
    <w:rsid w:val="003D2509"/>
    <w:rsid w:val="003D587B"/>
    <w:rsid w:val="003E0615"/>
    <w:rsid w:val="003E6E6E"/>
    <w:rsid w:val="003F3A5A"/>
    <w:rsid w:val="003F5D57"/>
    <w:rsid w:val="003F65F1"/>
    <w:rsid w:val="004234C5"/>
    <w:rsid w:val="00423D44"/>
    <w:rsid w:val="00426D23"/>
    <w:rsid w:val="004377A5"/>
    <w:rsid w:val="004425AA"/>
    <w:rsid w:val="00445760"/>
    <w:rsid w:val="00445CFC"/>
    <w:rsid w:val="00452AA9"/>
    <w:rsid w:val="00456C8A"/>
    <w:rsid w:val="00457010"/>
    <w:rsid w:val="00461AC6"/>
    <w:rsid w:val="004639C2"/>
    <w:rsid w:val="0046494E"/>
    <w:rsid w:val="00485B21"/>
    <w:rsid w:val="00496605"/>
    <w:rsid w:val="004A0C84"/>
    <w:rsid w:val="004A247F"/>
    <w:rsid w:val="004B4D9A"/>
    <w:rsid w:val="004B6C5B"/>
    <w:rsid w:val="004D0EA9"/>
    <w:rsid w:val="004D662F"/>
    <w:rsid w:val="004D6815"/>
    <w:rsid w:val="004E012B"/>
    <w:rsid w:val="004F097C"/>
    <w:rsid w:val="004F222A"/>
    <w:rsid w:val="00502026"/>
    <w:rsid w:val="0051718A"/>
    <w:rsid w:val="00521715"/>
    <w:rsid w:val="005268BF"/>
    <w:rsid w:val="00537D1C"/>
    <w:rsid w:val="00550A77"/>
    <w:rsid w:val="00552771"/>
    <w:rsid w:val="00574820"/>
    <w:rsid w:val="005766F2"/>
    <w:rsid w:val="00590ED0"/>
    <w:rsid w:val="005969AC"/>
    <w:rsid w:val="005A3516"/>
    <w:rsid w:val="005B6801"/>
    <w:rsid w:val="005C266E"/>
    <w:rsid w:val="005D3248"/>
    <w:rsid w:val="005D426D"/>
    <w:rsid w:val="005E66DD"/>
    <w:rsid w:val="005F0F36"/>
    <w:rsid w:val="00601BE3"/>
    <w:rsid w:val="00606389"/>
    <w:rsid w:val="00612FFE"/>
    <w:rsid w:val="0062378C"/>
    <w:rsid w:val="00635662"/>
    <w:rsid w:val="00640D8C"/>
    <w:rsid w:val="006567A7"/>
    <w:rsid w:val="00660EFD"/>
    <w:rsid w:val="006622C7"/>
    <w:rsid w:val="006626FA"/>
    <w:rsid w:val="006728DE"/>
    <w:rsid w:val="00686C50"/>
    <w:rsid w:val="0069061C"/>
    <w:rsid w:val="006B00E1"/>
    <w:rsid w:val="006D0A03"/>
    <w:rsid w:val="00701F17"/>
    <w:rsid w:val="0070534A"/>
    <w:rsid w:val="00723D3D"/>
    <w:rsid w:val="00725EAA"/>
    <w:rsid w:val="00727140"/>
    <w:rsid w:val="00735BEE"/>
    <w:rsid w:val="0074131A"/>
    <w:rsid w:val="00743041"/>
    <w:rsid w:val="00744378"/>
    <w:rsid w:val="00753731"/>
    <w:rsid w:val="0075619D"/>
    <w:rsid w:val="007822A6"/>
    <w:rsid w:val="00786033"/>
    <w:rsid w:val="00793F40"/>
    <w:rsid w:val="00794D6D"/>
    <w:rsid w:val="0079619C"/>
    <w:rsid w:val="007A3474"/>
    <w:rsid w:val="007A5C99"/>
    <w:rsid w:val="007A6669"/>
    <w:rsid w:val="007B2318"/>
    <w:rsid w:val="007B5B50"/>
    <w:rsid w:val="007C2AB1"/>
    <w:rsid w:val="007C7104"/>
    <w:rsid w:val="007C7E3A"/>
    <w:rsid w:val="007D12DB"/>
    <w:rsid w:val="007D4922"/>
    <w:rsid w:val="007E50F7"/>
    <w:rsid w:val="00800C41"/>
    <w:rsid w:val="00804EFF"/>
    <w:rsid w:val="008055BC"/>
    <w:rsid w:val="00806868"/>
    <w:rsid w:val="0081421E"/>
    <w:rsid w:val="00820009"/>
    <w:rsid w:val="0082119E"/>
    <w:rsid w:val="00824014"/>
    <w:rsid w:val="00827B23"/>
    <w:rsid w:val="0083374F"/>
    <w:rsid w:val="0083576E"/>
    <w:rsid w:val="00841241"/>
    <w:rsid w:val="00852972"/>
    <w:rsid w:val="008620CE"/>
    <w:rsid w:val="0087038E"/>
    <w:rsid w:val="008A14C8"/>
    <w:rsid w:val="008C204D"/>
    <w:rsid w:val="008D50EC"/>
    <w:rsid w:val="009152CF"/>
    <w:rsid w:val="00924870"/>
    <w:rsid w:val="00925823"/>
    <w:rsid w:val="00932F78"/>
    <w:rsid w:val="00935F2E"/>
    <w:rsid w:val="00941585"/>
    <w:rsid w:val="00952A70"/>
    <w:rsid w:val="00963584"/>
    <w:rsid w:val="00964590"/>
    <w:rsid w:val="00970482"/>
    <w:rsid w:val="0098754C"/>
    <w:rsid w:val="009A6621"/>
    <w:rsid w:val="009A6CAF"/>
    <w:rsid w:val="009B14CD"/>
    <w:rsid w:val="009B730D"/>
    <w:rsid w:val="009C31E8"/>
    <w:rsid w:val="009C518A"/>
    <w:rsid w:val="009E1A2B"/>
    <w:rsid w:val="00A0111E"/>
    <w:rsid w:val="00A25B71"/>
    <w:rsid w:val="00A41D8E"/>
    <w:rsid w:val="00A576AB"/>
    <w:rsid w:val="00A65A29"/>
    <w:rsid w:val="00A9191E"/>
    <w:rsid w:val="00A972D1"/>
    <w:rsid w:val="00AB5570"/>
    <w:rsid w:val="00AD2815"/>
    <w:rsid w:val="00AD6151"/>
    <w:rsid w:val="00AE2248"/>
    <w:rsid w:val="00AE48BA"/>
    <w:rsid w:val="00B24A66"/>
    <w:rsid w:val="00B33B09"/>
    <w:rsid w:val="00B46FEA"/>
    <w:rsid w:val="00B613D3"/>
    <w:rsid w:val="00B6632E"/>
    <w:rsid w:val="00B67C39"/>
    <w:rsid w:val="00B71957"/>
    <w:rsid w:val="00B825DB"/>
    <w:rsid w:val="00B830F2"/>
    <w:rsid w:val="00B90635"/>
    <w:rsid w:val="00B932F6"/>
    <w:rsid w:val="00B945C0"/>
    <w:rsid w:val="00B94BAB"/>
    <w:rsid w:val="00BA52D1"/>
    <w:rsid w:val="00BA78F7"/>
    <w:rsid w:val="00BC2F87"/>
    <w:rsid w:val="00BD21EE"/>
    <w:rsid w:val="00C003E5"/>
    <w:rsid w:val="00C33B17"/>
    <w:rsid w:val="00C36CC6"/>
    <w:rsid w:val="00C374BB"/>
    <w:rsid w:val="00C42D17"/>
    <w:rsid w:val="00C43986"/>
    <w:rsid w:val="00C541E7"/>
    <w:rsid w:val="00C64ABE"/>
    <w:rsid w:val="00C73532"/>
    <w:rsid w:val="00C76614"/>
    <w:rsid w:val="00C85A44"/>
    <w:rsid w:val="00CB4F3F"/>
    <w:rsid w:val="00CB68CD"/>
    <w:rsid w:val="00CC1843"/>
    <w:rsid w:val="00CC2DF1"/>
    <w:rsid w:val="00CE2A1E"/>
    <w:rsid w:val="00CF042F"/>
    <w:rsid w:val="00CF71F9"/>
    <w:rsid w:val="00D14392"/>
    <w:rsid w:val="00D53B3F"/>
    <w:rsid w:val="00D64E61"/>
    <w:rsid w:val="00D65AB1"/>
    <w:rsid w:val="00D66159"/>
    <w:rsid w:val="00D66581"/>
    <w:rsid w:val="00D668C8"/>
    <w:rsid w:val="00D80265"/>
    <w:rsid w:val="00D91C4A"/>
    <w:rsid w:val="00D970C8"/>
    <w:rsid w:val="00DB6983"/>
    <w:rsid w:val="00DC0AEB"/>
    <w:rsid w:val="00DC6DF4"/>
    <w:rsid w:val="00DE2002"/>
    <w:rsid w:val="00E040B5"/>
    <w:rsid w:val="00E0457C"/>
    <w:rsid w:val="00E200B2"/>
    <w:rsid w:val="00E50B83"/>
    <w:rsid w:val="00E672F0"/>
    <w:rsid w:val="00E77717"/>
    <w:rsid w:val="00E77CF3"/>
    <w:rsid w:val="00E91C5C"/>
    <w:rsid w:val="00E96B26"/>
    <w:rsid w:val="00EA114A"/>
    <w:rsid w:val="00EA1D66"/>
    <w:rsid w:val="00EB1407"/>
    <w:rsid w:val="00EB37EB"/>
    <w:rsid w:val="00EC1CE4"/>
    <w:rsid w:val="00EE26F4"/>
    <w:rsid w:val="00EF0545"/>
    <w:rsid w:val="00EF5AEC"/>
    <w:rsid w:val="00F00A4B"/>
    <w:rsid w:val="00F0111E"/>
    <w:rsid w:val="00F01BAB"/>
    <w:rsid w:val="00F11581"/>
    <w:rsid w:val="00F20BD2"/>
    <w:rsid w:val="00F26F4D"/>
    <w:rsid w:val="00F30E7B"/>
    <w:rsid w:val="00F33760"/>
    <w:rsid w:val="00F418AF"/>
    <w:rsid w:val="00F46EE7"/>
    <w:rsid w:val="00F548B8"/>
    <w:rsid w:val="00F55D2A"/>
    <w:rsid w:val="00F563B4"/>
    <w:rsid w:val="00F65A4E"/>
    <w:rsid w:val="00F70FF0"/>
    <w:rsid w:val="00F86CBC"/>
    <w:rsid w:val="00F94AE3"/>
    <w:rsid w:val="00FA0B6A"/>
    <w:rsid w:val="00FA1377"/>
    <w:rsid w:val="00FB3CDF"/>
    <w:rsid w:val="00FC548A"/>
    <w:rsid w:val="00FE44B8"/>
    <w:rsid w:val="00FF067B"/>
    <w:rsid w:val="00FF2672"/>
    <w:rsid w:val="00FF2E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457010"/>
    <w:pPr>
      <w:widowControl w:val="0"/>
      <w:autoSpaceDE w:val="0"/>
      <w:autoSpaceDN w:val="0"/>
      <w:adjustRightInd w:val="0"/>
    </w:pPr>
    <w:rPr>
      <w:rFonts w:ascii="Times New Roman" w:eastAsia="Times New Roman" w:hAnsi="Times New Roman"/>
    </w:rPr>
  </w:style>
  <w:style w:type="paragraph" w:styleId="Titolo3">
    <w:name w:val="heading 3"/>
    <w:basedOn w:val="Normale"/>
    <w:next w:val="Normale"/>
    <w:link w:val="Titolo3Carattere"/>
    <w:qFormat/>
    <w:rsid w:val="00640D8C"/>
    <w:pPr>
      <w:keepNext/>
      <w:widowControl/>
      <w:autoSpaceDE/>
      <w:autoSpaceDN/>
      <w:adjustRightInd/>
      <w:jc w:val="both"/>
      <w:outlineLvl w:val="2"/>
    </w:pPr>
    <w:rPr>
      <w:rFonts w:ascii="Arial" w:eastAsia="Times"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uiPriority w:val="99"/>
    <w:rsid w:val="002B366D"/>
    <w:pPr>
      <w:widowControl w:val="0"/>
      <w:autoSpaceDE w:val="0"/>
      <w:autoSpaceDN w:val="0"/>
      <w:adjustRightInd w:val="0"/>
    </w:pPr>
    <w:rPr>
      <w:rFonts w:ascii="Times New Roman" w:eastAsia="Times New Roman" w:hAnsi="Times New Roman"/>
    </w:rPr>
  </w:style>
  <w:style w:type="paragraph" w:customStyle="1" w:styleId="Style1">
    <w:name w:val="Style 1"/>
    <w:uiPriority w:val="99"/>
    <w:rsid w:val="002B366D"/>
    <w:pPr>
      <w:widowControl w:val="0"/>
      <w:autoSpaceDE w:val="0"/>
      <w:autoSpaceDN w:val="0"/>
      <w:spacing w:line="412" w:lineRule="auto"/>
      <w:jc w:val="both"/>
    </w:pPr>
    <w:rPr>
      <w:rFonts w:ascii="Times New Roman" w:eastAsia="Times New Roman" w:hAnsi="Times New Roman"/>
      <w:sz w:val="16"/>
      <w:szCs w:val="16"/>
    </w:rPr>
  </w:style>
  <w:style w:type="character" w:customStyle="1" w:styleId="CharacterStyle1">
    <w:name w:val="Character Style 1"/>
    <w:uiPriority w:val="99"/>
    <w:rsid w:val="002B366D"/>
    <w:rPr>
      <w:sz w:val="16"/>
      <w:szCs w:val="16"/>
    </w:rPr>
  </w:style>
  <w:style w:type="paragraph" w:customStyle="1" w:styleId="Style4">
    <w:name w:val="Style 4"/>
    <w:uiPriority w:val="99"/>
    <w:rsid w:val="00C003E5"/>
    <w:pPr>
      <w:widowControl w:val="0"/>
      <w:autoSpaceDE w:val="0"/>
      <w:autoSpaceDN w:val="0"/>
      <w:spacing w:line="273" w:lineRule="auto"/>
      <w:ind w:left="72" w:right="72"/>
    </w:pPr>
    <w:rPr>
      <w:rFonts w:ascii="Times New Roman" w:eastAsia="Times New Roman" w:hAnsi="Times New Roman"/>
      <w:sz w:val="16"/>
      <w:szCs w:val="16"/>
    </w:rPr>
  </w:style>
  <w:style w:type="paragraph" w:styleId="Intestazione">
    <w:name w:val="header"/>
    <w:basedOn w:val="Normale"/>
    <w:link w:val="IntestazioneCarattere"/>
    <w:uiPriority w:val="99"/>
    <w:unhideWhenUsed/>
    <w:rsid w:val="00964590"/>
    <w:pPr>
      <w:tabs>
        <w:tab w:val="center" w:pos="4819"/>
        <w:tab w:val="right" w:pos="9638"/>
      </w:tabs>
    </w:pPr>
  </w:style>
  <w:style w:type="character" w:customStyle="1" w:styleId="IntestazioneCarattere">
    <w:name w:val="Intestazione Carattere"/>
    <w:basedOn w:val="Carpredefinitoparagrafo"/>
    <w:link w:val="Intestazione"/>
    <w:uiPriority w:val="99"/>
    <w:rsid w:val="00964590"/>
    <w:rPr>
      <w:rFonts w:ascii="Times New Roman" w:eastAsia="Times New Roman" w:hAnsi="Times New Roman"/>
    </w:rPr>
  </w:style>
  <w:style w:type="paragraph" w:styleId="Pidipagina">
    <w:name w:val="footer"/>
    <w:basedOn w:val="Normale"/>
    <w:link w:val="PidipaginaCarattere"/>
    <w:uiPriority w:val="99"/>
    <w:unhideWhenUsed/>
    <w:rsid w:val="00964590"/>
    <w:pPr>
      <w:tabs>
        <w:tab w:val="center" w:pos="4819"/>
        <w:tab w:val="right" w:pos="9638"/>
      </w:tabs>
    </w:pPr>
  </w:style>
  <w:style w:type="character" w:customStyle="1" w:styleId="PidipaginaCarattere">
    <w:name w:val="Piè di pagina Carattere"/>
    <w:basedOn w:val="Carpredefinitoparagrafo"/>
    <w:link w:val="Pidipagina"/>
    <w:uiPriority w:val="99"/>
    <w:rsid w:val="00964590"/>
    <w:rPr>
      <w:rFonts w:ascii="Times New Roman" w:eastAsia="Times New Roman" w:hAnsi="Times New Roman"/>
    </w:rPr>
  </w:style>
  <w:style w:type="character" w:customStyle="1" w:styleId="Titolo3Carattere">
    <w:name w:val="Titolo 3 Carattere"/>
    <w:basedOn w:val="Carpredefinitoparagrafo"/>
    <w:link w:val="Titolo3"/>
    <w:rsid w:val="00640D8C"/>
    <w:rPr>
      <w:rFonts w:ascii="Arial" w:eastAsia="Times" w:hAnsi="Arial"/>
      <w:b/>
      <w:sz w:val="24"/>
    </w:rPr>
  </w:style>
  <w:style w:type="paragraph" w:customStyle="1" w:styleId="Corpo">
    <w:name w:val="Corpo"/>
    <w:rsid w:val="007B5B50"/>
    <w:rPr>
      <w:rFonts w:ascii="Helvetica" w:eastAsia="ヒラギノ角ゴ Pro W3" w:hAnsi="Helvetica"/>
      <w:color w:val="000000"/>
      <w:sz w:val="24"/>
    </w:rPr>
  </w:style>
  <w:style w:type="character" w:customStyle="1" w:styleId="titolo">
    <w:name w:val="titolo"/>
    <w:basedOn w:val="Carpredefinitoparagrafo"/>
    <w:rsid w:val="00293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457010"/>
    <w:pPr>
      <w:widowControl w:val="0"/>
      <w:autoSpaceDE w:val="0"/>
      <w:autoSpaceDN w:val="0"/>
      <w:adjustRightInd w:val="0"/>
    </w:pPr>
    <w:rPr>
      <w:rFonts w:ascii="Times New Roman" w:eastAsia="Times New Roman" w:hAnsi="Times New Roman"/>
    </w:rPr>
  </w:style>
  <w:style w:type="paragraph" w:styleId="Titolo3">
    <w:name w:val="heading 3"/>
    <w:basedOn w:val="Normale"/>
    <w:next w:val="Normale"/>
    <w:link w:val="Titolo3Carattere"/>
    <w:qFormat/>
    <w:rsid w:val="00640D8C"/>
    <w:pPr>
      <w:keepNext/>
      <w:widowControl/>
      <w:autoSpaceDE/>
      <w:autoSpaceDN/>
      <w:adjustRightInd/>
      <w:jc w:val="both"/>
      <w:outlineLvl w:val="2"/>
    </w:pPr>
    <w:rPr>
      <w:rFonts w:ascii="Arial" w:eastAsia="Times"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uiPriority w:val="99"/>
    <w:rsid w:val="002B366D"/>
    <w:pPr>
      <w:widowControl w:val="0"/>
      <w:autoSpaceDE w:val="0"/>
      <w:autoSpaceDN w:val="0"/>
      <w:adjustRightInd w:val="0"/>
    </w:pPr>
    <w:rPr>
      <w:rFonts w:ascii="Times New Roman" w:eastAsia="Times New Roman" w:hAnsi="Times New Roman"/>
    </w:rPr>
  </w:style>
  <w:style w:type="paragraph" w:customStyle="1" w:styleId="Style1">
    <w:name w:val="Style 1"/>
    <w:uiPriority w:val="99"/>
    <w:rsid w:val="002B366D"/>
    <w:pPr>
      <w:widowControl w:val="0"/>
      <w:autoSpaceDE w:val="0"/>
      <w:autoSpaceDN w:val="0"/>
      <w:spacing w:line="412" w:lineRule="auto"/>
      <w:jc w:val="both"/>
    </w:pPr>
    <w:rPr>
      <w:rFonts w:ascii="Times New Roman" w:eastAsia="Times New Roman" w:hAnsi="Times New Roman"/>
      <w:sz w:val="16"/>
      <w:szCs w:val="16"/>
    </w:rPr>
  </w:style>
  <w:style w:type="character" w:customStyle="1" w:styleId="CharacterStyle1">
    <w:name w:val="Character Style 1"/>
    <w:uiPriority w:val="99"/>
    <w:rsid w:val="002B366D"/>
    <w:rPr>
      <w:sz w:val="16"/>
      <w:szCs w:val="16"/>
    </w:rPr>
  </w:style>
  <w:style w:type="paragraph" w:customStyle="1" w:styleId="Style4">
    <w:name w:val="Style 4"/>
    <w:uiPriority w:val="99"/>
    <w:rsid w:val="00C003E5"/>
    <w:pPr>
      <w:widowControl w:val="0"/>
      <w:autoSpaceDE w:val="0"/>
      <w:autoSpaceDN w:val="0"/>
      <w:spacing w:line="273" w:lineRule="auto"/>
      <w:ind w:left="72" w:right="72"/>
    </w:pPr>
    <w:rPr>
      <w:rFonts w:ascii="Times New Roman" w:eastAsia="Times New Roman" w:hAnsi="Times New Roman"/>
      <w:sz w:val="16"/>
      <w:szCs w:val="16"/>
    </w:rPr>
  </w:style>
  <w:style w:type="paragraph" w:styleId="Intestazione">
    <w:name w:val="header"/>
    <w:basedOn w:val="Normale"/>
    <w:link w:val="IntestazioneCarattere"/>
    <w:uiPriority w:val="99"/>
    <w:unhideWhenUsed/>
    <w:rsid w:val="00964590"/>
    <w:pPr>
      <w:tabs>
        <w:tab w:val="center" w:pos="4819"/>
        <w:tab w:val="right" w:pos="9638"/>
      </w:tabs>
    </w:pPr>
  </w:style>
  <w:style w:type="character" w:customStyle="1" w:styleId="IntestazioneCarattere">
    <w:name w:val="Intestazione Carattere"/>
    <w:basedOn w:val="Carpredefinitoparagrafo"/>
    <w:link w:val="Intestazione"/>
    <w:uiPriority w:val="99"/>
    <w:rsid w:val="00964590"/>
    <w:rPr>
      <w:rFonts w:ascii="Times New Roman" w:eastAsia="Times New Roman" w:hAnsi="Times New Roman"/>
    </w:rPr>
  </w:style>
  <w:style w:type="paragraph" w:styleId="Pidipagina">
    <w:name w:val="footer"/>
    <w:basedOn w:val="Normale"/>
    <w:link w:val="PidipaginaCarattere"/>
    <w:uiPriority w:val="99"/>
    <w:unhideWhenUsed/>
    <w:rsid w:val="00964590"/>
    <w:pPr>
      <w:tabs>
        <w:tab w:val="center" w:pos="4819"/>
        <w:tab w:val="right" w:pos="9638"/>
      </w:tabs>
    </w:pPr>
  </w:style>
  <w:style w:type="character" w:customStyle="1" w:styleId="PidipaginaCarattere">
    <w:name w:val="Piè di pagina Carattere"/>
    <w:basedOn w:val="Carpredefinitoparagrafo"/>
    <w:link w:val="Pidipagina"/>
    <w:uiPriority w:val="99"/>
    <w:rsid w:val="00964590"/>
    <w:rPr>
      <w:rFonts w:ascii="Times New Roman" w:eastAsia="Times New Roman" w:hAnsi="Times New Roman"/>
    </w:rPr>
  </w:style>
  <w:style w:type="character" w:customStyle="1" w:styleId="Titolo3Carattere">
    <w:name w:val="Titolo 3 Carattere"/>
    <w:basedOn w:val="Carpredefinitoparagrafo"/>
    <w:link w:val="Titolo3"/>
    <w:rsid w:val="00640D8C"/>
    <w:rPr>
      <w:rFonts w:ascii="Arial" w:eastAsia="Times" w:hAnsi="Arial"/>
      <w:b/>
      <w:sz w:val="24"/>
    </w:rPr>
  </w:style>
  <w:style w:type="paragraph" w:customStyle="1" w:styleId="Corpo">
    <w:name w:val="Corpo"/>
    <w:rsid w:val="007B5B50"/>
    <w:rPr>
      <w:rFonts w:ascii="Helvetica" w:eastAsia="ヒラギノ角ゴ Pro W3" w:hAnsi="Helvetica"/>
      <w:color w:val="000000"/>
      <w:sz w:val="24"/>
    </w:rPr>
  </w:style>
  <w:style w:type="character" w:customStyle="1" w:styleId="titolo">
    <w:name w:val="titolo"/>
    <w:basedOn w:val="Carpredefinitoparagrafo"/>
    <w:rsid w:val="0029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73816">
      <w:bodyDiv w:val="1"/>
      <w:marLeft w:val="0"/>
      <w:marRight w:val="0"/>
      <w:marTop w:val="0"/>
      <w:marBottom w:val="0"/>
      <w:divBdr>
        <w:top w:val="none" w:sz="0" w:space="0" w:color="auto"/>
        <w:left w:val="none" w:sz="0" w:space="0" w:color="auto"/>
        <w:bottom w:val="none" w:sz="0" w:space="0" w:color="auto"/>
        <w:right w:val="none" w:sz="0" w:space="0" w:color="auto"/>
      </w:divBdr>
    </w:div>
    <w:div w:id="676887784">
      <w:bodyDiv w:val="1"/>
      <w:marLeft w:val="0"/>
      <w:marRight w:val="0"/>
      <w:marTop w:val="0"/>
      <w:marBottom w:val="0"/>
      <w:divBdr>
        <w:top w:val="none" w:sz="0" w:space="0" w:color="auto"/>
        <w:left w:val="none" w:sz="0" w:space="0" w:color="auto"/>
        <w:bottom w:val="none" w:sz="0" w:space="0" w:color="auto"/>
        <w:right w:val="none" w:sz="0" w:space="0" w:color="auto"/>
      </w:divBdr>
    </w:div>
    <w:div w:id="17639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B4E9-D2C1-4264-BEEC-E1BB4AC9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8212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Procama s.r.l.</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Raysa</dc:creator>
  <cp:lastModifiedBy>Grossi Antonella</cp:lastModifiedBy>
  <cp:revision>2</cp:revision>
  <cp:lastPrinted>2012-06-27T07:54:00Z</cp:lastPrinted>
  <dcterms:created xsi:type="dcterms:W3CDTF">2014-06-18T15:41:00Z</dcterms:created>
  <dcterms:modified xsi:type="dcterms:W3CDTF">2014-06-18T15:41:00Z</dcterms:modified>
</cp:coreProperties>
</file>